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82FB9" w14:textId="5AA08C3A" w:rsidR="00A67C81" w:rsidRDefault="00A67C81" w:rsidP="00A67C81">
      <w:r w:rsidRPr="005513CB">
        <w:rPr>
          <w:b/>
          <w:bCs/>
        </w:rPr>
        <w:t>Termékleírás</w:t>
      </w:r>
      <w:r>
        <w:rPr>
          <w:b/>
          <w:bCs/>
        </w:rPr>
        <w:t xml:space="preserve"> - </w:t>
      </w:r>
      <w:r w:rsidRPr="00A67C81">
        <w:rPr>
          <w:b/>
          <w:bCs/>
        </w:rPr>
        <w:t>1.200110-TH</w:t>
      </w:r>
    </w:p>
    <w:p w14:paraId="218DB68D" w14:textId="38EA66C6" w:rsidR="00A67C81" w:rsidRDefault="00A67C81" w:rsidP="00A67C81">
      <w:pPr>
        <w:pStyle w:val="Listaszerbekezds"/>
        <w:numPr>
          <w:ilvl w:val="0"/>
          <w:numId w:val="1"/>
        </w:numPr>
      </w:pPr>
      <w:r>
        <w:t xml:space="preserve">"Europe </w:t>
      </w:r>
      <w:proofErr w:type="spellStart"/>
      <w:r>
        <w:t>to</w:t>
      </w:r>
      <w:proofErr w:type="spellEnd"/>
      <w:r>
        <w:t xml:space="preserve"> USA"</w:t>
      </w:r>
    </w:p>
    <w:p w14:paraId="54A0F565" w14:textId="77777777" w:rsidR="00A67C81" w:rsidRDefault="00A67C81" w:rsidP="00A67C81">
      <w:pPr>
        <w:pStyle w:val="Listaszerbekezds"/>
        <w:numPr>
          <w:ilvl w:val="0"/>
          <w:numId w:val="1"/>
        </w:numPr>
      </w:pPr>
      <w:r>
        <w:t xml:space="preserve">használható földelt GS </w:t>
      </w:r>
      <w:proofErr w:type="spellStart"/>
      <w:r>
        <w:t>csatlakozós</w:t>
      </w:r>
      <w:proofErr w:type="spellEnd"/>
      <w:r>
        <w:t xml:space="preserve"> készülékekhez </w:t>
      </w:r>
    </w:p>
    <w:p w14:paraId="3DF30A0B" w14:textId="77777777" w:rsidR="00A67C81" w:rsidRDefault="00A67C81" w:rsidP="00A67C81">
      <w:pPr>
        <w:pStyle w:val="Listaszerbekezds"/>
        <w:numPr>
          <w:ilvl w:val="0"/>
          <w:numId w:val="1"/>
        </w:numPr>
      </w:pPr>
      <w:r>
        <w:t>indulás országának szabványa: GS</w:t>
      </w:r>
    </w:p>
    <w:p w14:paraId="2FD5267B" w14:textId="77777777" w:rsidR="00A67C81" w:rsidRDefault="00A67C81" w:rsidP="00A67C81">
      <w:pPr>
        <w:pStyle w:val="Listaszerbekezds"/>
        <w:numPr>
          <w:ilvl w:val="0"/>
          <w:numId w:val="1"/>
        </w:numPr>
      </w:pPr>
      <w:r>
        <w:t>célország csatlakozójának szabványa: USA</w:t>
      </w:r>
    </w:p>
    <w:p w14:paraId="1F321866" w14:textId="77777777" w:rsidR="00A67C81" w:rsidRDefault="00A67C81" w:rsidP="00A67C81">
      <w:pPr>
        <w:pStyle w:val="Listaszerbekezds"/>
        <w:numPr>
          <w:ilvl w:val="0"/>
          <w:numId w:val="1"/>
        </w:numPr>
      </w:pPr>
      <w:r>
        <w:t>bemeneti feszültség: 100-250 V</w:t>
      </w:r>
    </w:p>
    <w:p w14:paraId="5FDEC11E" w14:textId="16E7B96A" w:rsidR="00A67C81" w:rsidRDefault="00A67C81" w:rsidP="00A67C81">
      <w:pPr>
        <w:pStyle w:val="Listaszerbekezds"/>
        <w:numPr>
          <w:ilvl w:val="0"/>
          <w:numId w:val="1"/>
        </w:numPr>
      </w:pPr>
      <w:proofErr w:type="spellStart"/>
      <w:r>
        <w:t>max</w:t>
      </w:r>
      <w:proofErr w:type="spellEnd"/>
      <w:r w:rsidR="00324C8A">
        <w:t>.</w:t>
      </w:r>
      <w:r>
        <w:t xml:space="preserve"> terhelés: 15 A</w:t>
      </w:r>
    </w:p>
    <w:p w14:paraId="7FA38159" w14:textId="77777777" w:rsidR="00A67C81" w:rsidRDefault="00A67C81" w:rsidP="00A67C81">
      <w:pPr>
        <w:pStyle w:val="Listaszerbekezds"/>
        <w:numPr>
          <w:ilvl w:val="0"/>
          <w:numId w:val="1"/>
        </w:numPr>
      </w:pPr>
      <w:r>
        <w:t xml:space="preserve">teljesítmény: </w:t>
      </w:r>
    </w:p>
    <w:p w14:paraId="19BDCCA7" w14:textId="15025D6D" w:rsidR="0065021B" w:rsidRDefault="00A67C81" w:rsidP="00A67C81">
      <w:pPr>
        <w:pStyle w:val="Listaszerbekezds"/>
        <w:numPr>
          <w:ilvl w:val="0"/>
          <w:numId w:val="1"/>
        </w:numPr>
      </w:pPr>
      <w:r>
        <w:t>100 V - 1500 W / 250 V - 3750 W</w:t>
      </w:r>
    </w:p>
    <w:p w14:paraId="77519D75" w14:textId="77777777" w:rsidR="00A67C81" w:rsidRDefault="00A67C81" w:rsidP="00A67C81">
      <w:pPr>
        <w:spacing w:after="0" w:line="240" w:lineRule="auto"/>
      </w:pPr>
      <w:r>
        <w:t>Hogyan biztosíthatja, hogy külföldi útjai során gond nélkül használhassa elektromos készülékeit?</w:t>
      </w:r>
    </w:p>
    <w:p w14:paraId="1112784F" w14:textId="77777777" w:rsidR="00A67C81" w:rsidRDefault="00A67C81" w:rsidP="00A67C81">
      <w:pPr>
        <w:spacing w:after="0" w:line="240" w:lineRule="auto"/>
      </w:pPr>
      <w:r>
        <w:t xml:space="preserve">A Q2POWER 1.200110-TH utazóadapter „Europe </w:t>
      </w:r>
      <w:proofErr w:type="spellStart"/>
      <w:r>
        <w:t>to</w:t>
      </w:r>
      <w:proofErr w:type="spellEnd"/>
      <w:r>
        <w:t xml:space="preserve"> USA” tökéletes megoldás azok számára, akik európai szabványú készülékeiket szeretnék az Egyesült Államokban használni. Ez a kompakt és megbízható adapter lehetővé teszi, hogy utazás közben is ugyanúgy élvezhesse eszközei kényelmét, mint otthon.</w:t>
      </w:r>
    </w:p>
    <w:p w14:paraId="0C9E2A45" w14:textId="77777777" w:rsidR="00A67C81" w:rsidRDefault="00A67C81" w:rsidP="00A67C81">
      <w:pPr>
        <w:spacing w:after="0" w:line="240" w:lineRule="auto"/>
      </w:pPr>
    </w:p>
    <w:p w14:paraId="2AC85C0E" w14:textId="77777777" w:rsidR="00A67C81" w:rsidRDefault="00A67C81" w:rsidP="00A67C81">
      <w:pPr>
        <w:spacing w:after="0" w:line="240" w:lineRule="auto"/>
      </w:pPr>
      <w:r>
        <w:t>Megbízható kompatibilitás utazásokhoz</w:t>
      </w:r>
    </w:p>
    <w:p w14:paraId="63804765" w14:textId="77777777" w:rsidR="00A67C81" w:rsidRDefault="00A67C81" w:rsidP="00A67C81">
      <w:pPr>
        <w:spacing w:after="0" w:line="240" w:lineRule="auto"/>
      </w:pPr>
      <w:r>
        <w:t xml:space="preserve">Az adapter kifejezetten Európából az USA-ba történő csatlakoztatáshoz készült. Földelt GS </w:t>
      </w:r>
      <w:proofErr w:type="spellStart"/>
      <w:r>
        <w:t>csatlakozós</w:t>
      </w:r>
      <w:proofErr w:type="spellEnd"/>
      <w:r>
        <w:t xml:space="preserve"> készülékekkel is használható, így a biztonságos működés garantált. Az indulási ország szabványa GS, a célországé pedig USA, ami biztosítja a hibátlan csatlakozást és zavartalan használatot.</w:t>
      </w:r>
    </w:p>
    <w:p w14:paraId="4B3FE461" w14:textId="77777777" w:rsidR="00A67C81" w:rsidRDefault="00A67C81" w:rsidP="00A67C81">
      <w:pPr>
        <w:spacing w:after="0" w:line="240" w:lineRule="auto"/>
      </w:pPr>
    </w:p>
    <w:p w14:paraId="6D292C49" w14:textId="77777777" w:rsidR="00A67C81" w:rsidRDefault="00A67C81" w:rsidP="00A67C81">
      <w:pPr>
        <w:spacing w:after="0" w:line="240" w:lineRule="auto"/>
      </w:pPr>
      <w:r>
        <w:t>Széles feszültségtartomány a biztos működésért</w:t>
      </w:r>
    </w:p>
    <w:p w14:paraId="5F94DE8F" w14:textId="77777777" w:rsidR="00A67C81" w:rsidRDefault="00A67C81" w:rsidP="00A67C81">
      <w:pPr>
        <w:spacing w:after="0" w:line="240" w:lineRule="auto"/>
      </w:pPr>
      <w:r>
        <w:t>A Q2POWER adapter 100-250 V bemeneti feszültséget támogat, így számos elektronikai eszközzel kompatibilis. A maximális terhelhetőség 15 A, amely bőven elegendő a legtöbb mindennapi készülékhez. Teljesítménye 100 V esetén 1500 W, míg 250 V esetén 3750 W, ezáltal stabil és biztonságos áramellátást biztosít.</w:t>
      </w:r>
    </w:p>
    <w:p w14:paraId="6D2AFF78" w14:textId="77777777" w:rsidR="00A67C81" w:rsidRDefault="00A67C81" w:rsidP="00A67C81">
      <w:pPr>
        <w:spacing w:after="0" w:line="240" w:lineRule="auto"/>
      </w:pPr>
    </w:p>
    <w:p w14:paraId="25979189" w14:textId="77777777" w:rsidR="00A67C81" w:rsidRDefault="00A67C81" w:rsidP="00A67C81">
      <w:pPr>
        <w:spacing w:after="0" w:line="240" w:lineRule="auto"/>
      </w:pPr>
      <w:r>
        <w:t>Kompakt és praktikus kiegészítő</w:t>
      </w:r>
    </w:p>
    <w:p w14:paraId="42B700D2" w14:textId="77777777" w:rsidR="00A67C81" w:rsidRDefault="00A67C81" w:rsidP="00A67C81">
      <w:pPr>
        <w:spacing w:after="0" w:line="240" w:lineRule="auto"/>
      </w:pPr>
      <w:r>
        <w:t>Az adapter kis mérete miatt könnyen elfér bármilyen utazótáskában, így ideális társ üzleti utakhoz, nyaralásokhoz vagy hosszabb külföldi tartózkodásokhoz. Praktikusságát az egyszerű használat mellett az is növeli, hogy nem igényel semmilyen különleges beállítást – csatlakoztatás után azonnal használható.</w:t>
      </w:r>
    </w:p>
    <w:p w14:paraId="01A76025" w14:textId="77777777" w:rsidR="00A67C81" w:rsidRDefault="00A67C81" w:rsidP="00A67C81">
      <w:pPr>
        <w:spacing w:after="0" w:line="240" w:lineRule="auto"/>
      </w:pPr>
    </w:p>
    <w:p w14:paraId="0D20157B" w14:textId="77777777" w:rsidR="00A67C81" w:rsidRDefault="00A67C81" w:rsidP="00A67C81">
      <w:pPr>
        <w:spacing w:after="0" w:line="240" w:lineRule="auto"/>
      </w:pPr>
      <w:r>
        <w:t>Miért válassza a Q2POWER 1.200110-TH utazóadaptert?</w:t>
      </w:r>
    </w:p>
    <w:p w14:paraId="22E4BF57" w14:textId="77777777" w:rsidR="00A67C81" w:rsidRDefault="00A67C81" w:rsidP="00A67C81">
      <w:pPr>
        <w:spacing w:after="0" w:line="240" w:lineRule="auto"/>
      </w:pPr>
      <w:r>
        <w:t xml:space="preserve">- Europe </w:t>
      </w:r>
      <w:proofErr w:type="spellStart"/>
      <w:r>
        <w:t>to</w:t>
      </w:r>
      <w:proofErr w:type="spellEnd"/>
      <w:r>
        <w:t xml:space="preserve"> USA átalakításra kifejlesztett</w:t>
      </w:r>
    </w:p>
    <w:p w14:paraId="3C8D3FAA" w14:textId="77777777" w:rsidR="00A67C81" w:rsidRDefault="00A67C81" w:rsidP="00A67C81">
      <w:pPr>
        <w:spacing w:after="0" w:line="240" w:lineRule="auto"/>
      </w:pPr>
      <w:r>
        <w:t xml:space="preserve">- Használható földelt GS </w:t>
      </w:r>
      <w:proofErr w:type="spellStart"/>
      <w:r>
        <w:t>csatlakozós</w:t>
      </w:r>
      <w:proofErr w:type="spellEnd"/>
      <w:r>
        <w:t xml:space="preserve"> készülékekkel</w:t>
      </w:r>
    </w:p>
    <w:p w14:paraId="11D030CB" w14:textId="77777777" w:rsidR="00A67C81" w:rsidRDefault="00A67C81" w:rsidP="00A67C81">
      <w:pPr>
        <w:spacing w:after="0" w:line="240" w:lineRule="auto"/>
      </w:pPr>
      <w:r>
        <w:t>- Széles bemeneti feszültség: 100-250 V</w:t>
      </w:r>
    </w:p>
    <w:p w14:paraId="7AEC973C" w14:textId="77777777" w:rsidR="00A67C81" w:rsidRDefault="00A67C81" w:rsidP="00A67C81">
      <w:pPr>
        <w:spacing w:after="0" w:line="240" w:lineRule="auto"/>
      </w:pPr>
      <w:r>
        <w:t>- Magas teljesítmény: akár 3750 W</w:t>
      </w:r>
    </w:p>
    <w:p w14:paraId="6172E18A" w14:textId="77777777" w:rsidR="00A67C81" w:rsidRDefault="00A67C81" w:rsidP="00A67C81">
      <w:pPr>
        <w:spacing w:after="0" w:line="240" w:lineRule="auto"/>
      </w:pPr>
      <w:r>
        <w:t>- Kompakt, könnyen hordozható kialakítás</w:t>
      </w:r>
    </w:p>
    <w:p w14:paraId="0F435802" w14:textId="77777777" w:rsidR="00A67C81" w:rsidRDefault="00A67C81" w:rsidP="00A67C81">
      <w:pPr>
        <w:spacing w:after="0" w:line="240" w:lineRule="auto"/>
      </w:pPr>
    </w:p>
    <w:p w14:paraId="5E742D1C" w14:textId="2593F548" w:rsidR="00A67C81" w:rsidRDefault="00A67C81" w:rsidP="00A67C81">
      <w:pPr>
        <w:spacing w:after="0" w:line="240" w:lineRule="auto"/>
      </w:pPr>
      <w:r>
        <w:t>Ne engedje, hogy a különböző csatlakozó szabványok megnehezítsék utazásait! Válassza a Q2POWER 1.200110-TH utazóadaptert, és élvezze a biztonságos, gondtalan használatot bárhol az Egyesült Államokban.</w:t>
      </w:r>
    </w:p>
    <w:sectPr w:rsidR="00A67C8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21341"/>
    <w:multiLevelType w:val="hybridMultilevel"/>
    <w:tmpl w:val="916E93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546602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C81"/>
    <w:rsid w:val="00324C8A"/>
    <w:rsid w:val="0065021B"/>
    <w:rsid w:val="006D2414"/>
    <w:rsid w:val="00747397"/>
    <w:rsid w:val="00A67C8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57EEA"/>
  <w15:chartTrackingRefBased/>
  <w15:docId w15:val="{335D228B-2BF2-4180-8930-EA49F671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A67C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Cmsor2">
    <w:name w:val="heading 2"/>
    <w:basedOn w:val="Norml"/>
    <w:next w:val="Norml"/>
    <w:link w:val="Cmsor2Char"/>
    <w:uiPriority w:val="9"/>
    <w:semiHidden/>
    <w:unhideWhenUsed/>
    <w:qFormat/>
    <w:rsid w:val="00A67C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Cmsor3">
    <w:name w:val="heading 3"/>
    <w:basedOn w:val="Norml"/>
    <w:next w:val="Norml"/>
    <w:link w:val="Cmsor3Char"/>
    <w:uiPriority w:val="9"/>
    <w:semiHidden/>
    <w:unhideWhenUsed/>
    <w:qFormat/>
    <w:rsid w:val="00A67C81"/>
    <w:pPr>
      <w:keepNext/>
      <w:keepLines/>
      <w:spacing w:before="160" w:after="80"/>
      <w:outlineLvl w:val="2"/>
    </w:pPr>
    <w:rPr>
      <w:rFonts w:eastAsiaTheme="majorEastAsia" w:cstheme="majorBidi"/>
      <w:color w:val="2F5496" w:themeColor="accent1" w:themeShade="BF"/>
      <w:sz w:val="28"/>
      <w:szCs w:val="28"/>
    </w:rPr>
  </w:style>
  <w:style w:type="paragraph" w:styleId="Cmsor4">
    <w:name w:val="heading 4"/>
    <w:basedOn w:val="Norml"/>
    <w:next w:val="Norml"/>
    <w:link w:val="Cmsor4Char"/>
    <w:uiPriority w:val="9"/>
    <w:semiHidden/>
    <w:unhideWhenUsed/>
    <w:qFormat/>
    <w:rsid w:val="00A67C81"/>
    <w:pPr>
      <w:keepNext/>
      <w:keepLines/>
      <w:spacing w:before="80" w:after="40"/>
      <w:outlineLvl w:val="3"/>
    </w:pPr>
    <w:rPr>
      <w:rFonts w:eastAsiaTheme="majorEastAsia" w:cstheme="majorBidi"/>
      <w:i/>
      <w:iCs/>
      <w:color w:val="2F5496" w:themeColor="accent1" w:themeShade="BF"/>
    </w:rPr>
  </w:style>
  <w:style w:type="paragraph" w:styleId="Cmsor5">
    <w:name w:val="heading 5"/>
    <w:basedOn w:val="Norml"/>
    <w:next w:val="Norml"/>
    <w:link w:val="Cmsor5Char"/>
    <w:uiPriority w:val="9"/>
    <w:semiHidden/>
    <w:unhideWhenUsed/>
    <w:qFormat/>
    <w:rsid w:val="00A67C81"/>
    <w:pPr>
      <w:keepNext/>
      <w:keepLines/>
      <w:spacing w:before="80" w:after="40"/>
      <w:outlineLvl w:val="4"/>
    </w:pPr>
    <w:rPr>
      <w:rFonts w:eastAsiaTheme="majorEastAsia" w:cstheme="majorBidi"/>
      <w:color w:val="2F5496" w:themeColor="accent1" w:themeShade="BF"/>
    </w:rPr>
  </w:style>
  <w:style w:type="paragraph" w:styleId="Cmsor6">
    <w:name w:val="heading 6"/>
    <w:basedOn w:val="Norml"/>
    <w:next w:val="Norml"/>
    <w:link w:val="Cmsor6Char"/>
    <w:uiPriority w:val="9"/>
    <w:semiHidden/>
    <w:unhideWhenUsed/>
    <w:qFormat/>
    <w:rsid w:val="00A67C81"/>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A67C81"/>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A67C81"/>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A67C81"/>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A67C81"/>
    <w:rPr>
      <w:rFonts w:asciiTheme="majorHAnsi" w:eastAsiaTheme="majorEastAsia" w:hAnsiTheme="majorHAnsi" w:cstheme="majorBidi"/>
      <w:color w:val="2F5496" w:themeColor="accent1" w:themeShade="BF"/>
      <w:sz w:val="40"/>
      <w:szCs w:val="40"/>
    </w:rPr>
  </w:style>
  <w:style w:type="character" w:customStyle="1" w:styleId="Cmsor2Char">
    <w:name w:val="Címsor 2 Char"/>
    <w:basedOn w:val="Bekezdsalapbettpusa"/>
    <w:link w:val="Cmsor2"/>
    <w:uiPriority w:val="9"/>
    <w:semiHidden/>
    <w:rsid w:val="00A67C81"/>
    <w:rPr>
      <w:rFonts w:asciiTheme="majorHAnsi" w:eastAsiaTheme="majorEastAsia" w:hAnsiTheme="majorHAnsi" w:cstheme="majorBidi"/>
      <w:color w:val="2F5496" w:themeColor="accent1" w:themeShade="BF"/>
      <w:sz w:val="32"/>
      <w:szCs w:val="32"/>
    </w:rPr>
  </w:style>
  <w:style w:type="character" w:customStyle="1" w:styleId="Cmsor3Char">
    <w:name w:val="Címsor 3 Char"/>
    <w:basedOn w:val="Bekezdsalapbettpusa"/>
    <w:link w:val="Cmsor3"/>
    <w:uiPriority w:val="9"/>
    <w:semiHidden/>
    <w:rsid w:val="00A67C81"/>
    <w:rPr>
      <w:rFonts w:eastAsiaTheme="majorEastAsia" w:cstheme="majorBidi"/>
      <w:color w:val="2F5496" w:themeColor="accent1" w:themeShade="BF"/>
      <w:sz w:val="28"/>
      <w:szCs w:val="28"/>
    </w:rPr>
  </w:style>
  <w:style w:type="character" w:customStyle="1" w:styleId="Cmsor4Char">
    <w:name w:val="Címsor 4 Char"/>
    <w:basedOn w:val="Bekezdsalapbettpusa"/>
    <w:link w:val="Cmsor4"/>
    <w:uiPriority w:val="9"/>
    <w:semiHidden/>
    <w:rsid w:val="00A67C81"/>
    <w:rPr>
      <w:rFonts w:eastAsiaTheme="majorEastAsia" w:cstheme="majorBidi"/>
      <w:i/>
      <w:iCs/>
      <w:color w:val="2F5496" w:themeColor="accent1" w:themeShade="BF"/>
    </w:rPr>
  </w:style>
  <w:style w:type="character" w:customStyle="1" w:styleId="Cmsor5Char">
    <w:name w:val="Címsor 5 Char"/>
    <w:basedOn w:val="Bekezdsalapbettpusa"/>
    <w:link w:val="Cmsor5"/>
    <w:uiPriority w:val="9"/>
    <w:semiHidden/>
    <w:rsid w:val="00A67C81"/>
    <w:rPr>
      <w:rFonts w:eastAsiaTheme="majorEastAsia" w:cstheme="majorBidi"/>
      <w:color w:val="2F5496" w:themeColor="accent1" w:themeShade="BF"/>
    </w:rPr>
  </w:style>
  <w:style w:type="character" w:customStyle="1" w:styleId="Cmsor6Char">
    <w:name w:val="Címsor 6 Char"/>
    <w:basedOn w:val="Bekezdsalapbettpusa"/>
    <w:link w:val="Cmsor6"/>
    <w:uiPriority w:val="9"/>
    <w:semiHidden/>
    <w:rsid w:val="00A67C81"/>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A67C81"/>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A67C81"/>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A67C81"/>
    <w:rPr>
      <w:rFonts w:eastAsiaTheme="majorEastAsia" w:cstheme="majorBidi"/>
      <w:color w:val="272727" w:themeColor="text1" w:themeTint="D8"/>
    </w:rPr>
  </w:style>
  <w:style w:type="paragraph" w:styleId="Cm">
    <w:name w:val="Title"/>
    <w:basedOn w:val="Norml"/>
    <w:next w:val="Norml"/>
    <w:link w:val="CmChar"/>
    <w:uiPriority w:val="10"/>
    <w:qFormat/>
    <w:rsid w:val="00A67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A67C81"/>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A67C81"/>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A67C81"/>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A67C81"/>
    <w:pPr>
      <w:spacing w:before="160"/>
      <w:jc w:val="center"/>
    </w:pPr>
    <w:rPr>
      <w:i/>
      <w:iCs/>
      <w:color w:val="404040" w:themeColor="text1" w:themeTint="BF"/>
    </w:rPr>
  </w:style>
  <w:style w:type="character" w:customStyle="1" w:styleId="IdzetChar">
    <w:name w:val="Idézet Char"/>
    <w:basedOn w:val="Bekezdsalapbettpusa"/>
    <w:link w:val="Idzet"/>
    <w:uiPriority w:val="29"/>
    <w:rsid w:val="00A67C81"/>
    <w:rPr>
      <w:i/>
      <w:iCs/>
      <w:color w:val="404040" w:themeColor="text1" w:themeTint="BF"/>
    </w:rPr>
  </w:style>
  <w:style w:type="paragraph" w:styleId="Listaszerbekezds">
    <w:name w:val="List Paragraph"/>
    <w:basedOn w:val="Norml"/>
    <w:uiPriority w:val="34"/>
    <w:qFormat/>
    <w:rsid w:val="00A67C81"/>
    <w:pPr>
      <w:ind w:left="720"/>
      <w:contextualSpacing/>
    </w:pPr>
  </w:style>
  <w:style w:type="character" w:styleId="Erskiemels">
    <w:name w:val="Intense Emphasis"/>
    <w:basedOn w:val="Bekezdsalapbettpusa"/>
    <w:uiPriority w:val="21"/>
    <w:qFormat/>
    <w:rsid w:val="00A67C81"/>
    <w:rPr>
      <w:i/>
      <w:iCs/>
      <w:color w:val="2F5496" w:themeColor="accent1" w:themeShade="BF"/>
    </w:rPr>
  </w:style>
  <w:style w:type="paragraph" w:styleId="Kiemeltidzet">
    <w:name w:val="Intense Quote"/>
    <w:basedOn w:val="Norml"/>
    <w:next w:val="Norml"/>
    <w:link w:val="KiemeltidzetChar"/>
    <w:uiPriority w:val="30"/>
    <w:qFormat/>
    <w:rsid w:val="00A67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KiemeltidzetChar">
    <w:name w:val="Kiemelt idézet Char"/>
    <w:basedOn w:val="Bekezdsalapbettpusa"/>
    <w:link w:val="Kiemeltidzet"/>
    <w:uiPriority w:val="30"/>
    <w:rsid w:val="00A67C81"/>
    <w:rPr>
      <w:i/>
      <w:iCs/>
      <w:color w:val="2F5496" w:themeColor="accent1" w:themeShade="BF"/>
    </w:rPr>
  </w:style>
  <w:style w:type="character" w:styleId="Ershivatkozs">
    <w:name w:val="Intense Reference"/>
    <w:basedOn w:val="Bekezdsalapbettpusa"/>
    <w:uiPriority w:val="32"/>
    <w:qFormat/>
    <w:rsid w:val="00A67C8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271</Words>
  <Characters>1871</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Milcsarekne Kocsis Erzsebet</dc:creator>
  <cp:keywords/>
  <dc:description/>
  <cp:lastModifiedBy>Milcsarekne Kocsis Erzsebet</cp:lastModifiedBy>
  <cp:revision>2</cp:revision>
  <dcterms:created xsi:type="dcterms:W3CDTF">2026-06-15T11:10:00Z</dcterms:created>
  <dcterms:modified xsi:type="dcterms:W3CDTF">2026-06-15T11:11:00Z</dcterms:modified>
</cp:coreProperties>
</file>