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009A96D" w14:textId="485BC061" w:rsidR="00771D40" w:rsidRDefault="00771D40" w:rsidP="00771D40">
      <w:r>
        <w:t>Hogyan hosszabbíthatja meg ónszippantójának élettartamát egyszerűen és hatékonyan?</w:t>
      </w:r>
      <w:r>
        <w:rPr>
          <w:rFonts w:ascii="MS Gothic" w:eastAsia="MS Gothic" w:hAnsi="MS Gothic" w:cs="MS Gothic" w:hint="eastAsia"/>
        </w:rPr>
        <w:t> </w:t>
      </w:r>
      <w:r>
        <w:t xml:space="preserve">A </w:t>
      </w:r>
      <w:proofErr w:type="spellStart"/>
      <w:r>
        <w:t>Pro'skit</w:t>
      </w:r>
      <w:proofErr w:type="spellEnd"/>
      <w:r>
        <w:t xml:space="preserve"> 508-366A-T p</w:t>
      </w:r>
      <w:r>
        <w:rPr>
          <w:rFonts w:ascii="Calibri" w:hAnsi="Calibri" w:cs="Calibri"/>
        </w:rPr>
        <w:t>ó</w:t>
      </w:r>
      <w:r>
        <w:t>thegy kifejezetten az 8PK-366D t</w:t>
      </w:r>
      <w:r>
        <w:rPr>
          <w:rFonts w:ascii="Calibri" w:hAnsi="Calibri" w:cs="Calibri"/>
        </w:rPr>
        <w:t>í</w:t>
      </w:r>
      <w:r>
        <w:t>pus</w:t>
      </w:r>
      <w:r>
        <w:rPr>
          <w:rFonts w:ascii="Calibri" w:hAnsi="Calibri" w:cs="Calibri"/>
        </w:rPr>
        <w:t>ú</w:t>
      </w:r>
      <w:r>
        <w:t xml:space="preserve"> </w:t>
      </w:r>
      <w:r>
        <w:rPr>
          <w:rFonts w:ascii="Calibri" w:hAnsi="Calibri" w:cs="Calibri"/>
        </w:rPr>
        <w:t>ó</w:t>
      </w:r>
      <w:r>
        <w:t>nszippant</w:t>
      </w:r>
      <w:r>
        <w:rPr>
          <w:rFonts w:ascii="Calibri" w:hAnsi="Calibri" w:cs="Calibri"/>
        </w:rPr>
        <w:t>ó</w:t>
      </w:r>
      <w:r>
        <w:t>hoz k</w:t>
      </w:r>
      <w:r>
        <w:rPr>
          <w:rFonts w:ascii="Calibri" w:hAnsi="Calibri" w:cs="Calibri"/>
        </w:rPr>
        <w:t>é</w:t>
      </w:r>
      <w:r>
        <w:t>sz</w:t>
      </w:r>
      <w:r>
        <w:rPr>
          <w:rFonts w:ascii="Calibri" w:hAnsi="Calibri" w:cs="Calibri"/>
        </w:rPr>
        <w:t>ü</w:t>
      </w:r>
      <w:r>
        <w:t>lt, biztos</w:t>
      </w:r>
      <w:r>
        <w:rPr>
          <w:rFonts w:ascii="Calibri" w:hAnsi="Calibri" w:cs="Calibri"/>
        </w:rPr>
        <w:t>í</w:t>
      </w:r>
      <w:r>
        <w:t>tva a k</w:t>
      </w:r>
      <w:r>
        <w:rPr>
          <w:rFonts w:ascii="Calibri" w:hAnsi="Calibri" w:cs="Calibri"/>
        </w:rPr>
        <w:t>é</w:t>
      </w:r>
      <w:r>
        <w:t>sz</w:t>
      </w:r>
      <w:r>
        <w:rPr>
          <w:rFonts w:ascii="Calibri" w:hAnsi="Calibri" w:cs="Calibri"/>
        </w:rPr>
        <w:t>ü</w:t>
      </w:r>
      <w:r>
        <w:t>l</w:t>
      </w:r>
      <w:r>
        <w:rPr>
          <w:rFonts w:ascii="Calibri" w:hAnsi="Calibri" w:cs="Calibri"/>
        </w:rPr>
        <w:t>é</w:t>
      </w:r>
      <w:r>
        <w:t>k hossz</w:t>
      </w:r>
      <w:r>
        <w:rPr>
          <w:rFonts w:ascii="Calibri" w:hAnsi="Calibri" w:cs="Calibri"/>
        </w:rPr>
        <w:t>ú</w:t>
      </w:r>
      <w:r>
        <w:t xml:space="preserve"> t</w:t>
      </w:r>
      <w:r>
        <w:rPr>
          <w:rFonts w:ascii="Calibri" w:hAnsi="Calibri" w:cs="Calibri"/>
        </w:rPr>
        <w:t>á</w:t>
      </w:r>
      <w:r>
        <w:t>v</w:t>
      </w:r>
      <w:r>
        <w:rPr>
          <w:rFonts w:ascii="Calibri" w:hAnsi="Calibri" w:cs="Calibri"/>
        </w:rPr>
        <w:t>ú</w:t>
      </w:r>
      <w:r>
        <w:t xml:space="preserve"> megb</w:t>
      </w:r>
      <w:r>
        <w:rPr>
          <w:rFonts w:ascii="Calibri" w:hAnsi="Calibri" w:cs="Calibri"/>
        </w:rPr>
        <w:t>í</w:t>
      </w:r>
      <w:r>
        <w:t>zhat</w:t>
      </w:r>
      <w:r>
        <w:rPr>
          <w:rFonts w:ascii="Calibri" w:hAnsi="Calibri" w:cs="Calibri"/>
        </w:rPr>
        <w:t>ó</w:t>
      </w:r>
      <w:r>
        <w:t>s</w:t>
      </w:r>
      <w:r>
        <w:rPr>
          <w:rFonts w:ascii="Calibri" w:hAnsi="Calibri" w:cs="Calibri"/>
        </w:rPr>
        <w:t>á</w:t>
      </w:r>
      <w:r>
        <w:t>g</w:t>
      </w:r>
      <w:r>
        <w:rPr>
          <w:rFonts w:ascii="Calibri" w:hAnsi="Calibri" w:cs="Calibri"/>
        </w:rPr>
        <w:t>á</w:t>
      </w:r>
      <w:r>
        <w:t xml:space="preserve">t </w:t>
      </w:r>
      <w:r>
        <w:rPr>
          <w:rFonts w:ascii="Calibri" w:hAnsi="Calibri" w:cs="Calibri"/>
        </w:rPr>
        <w:t>é</w:t>
      </w:r>
      <w:r>
        <w:t>s hat</w:t>
      </w:r>
      <w:r>
        <w:rPr>
          <w:rFonts w:ascii="Calibri" w:hAnsi="Calibri" w:cs="Calibri"/>
        </w:rPr>
        <w:t>é</w:t>
      </w:r>
      <w:r>
        <w:t>kony m</w:t>
      </w:r>
      <w:r>
        <w:rPr>
          <w:rFonts w:ascii="Calibri" w:hAnsi="Calibri" w:cs="Calibri"/>
        </w:rPr>
        <w:t>ű</w:t>
      </w:r>
      <w:r>
        <w:t>k</w:t>
      </w:r>
      <w:r>
        <w:rPr>
          <w:rFonts w:ascii="Calibri" w:hAnsi="Calibri" w:cs="Calibri"/>
        </w:rPr>
        <w:t>ö</w:t>
      </w:r>
      <w:r>
        <w:t>d</w:t>
      </w:r>
      <w:r>
        <w:rPr>
          <w:rFonts w:ascii="Calibri" w:hAnsi="Calibri" w:cs="Calibri"/>
        </w:rPr>
        <w:t>é</w:t>
      </w:r>
      <w:r>
        <w:t>s</w:t>
      </w:r>
      <w:r>
        <w:rPr>
          <w:rFonts w:ascii="Calibri" w:hAnsi="Calibri" w:cs="Calibri"/>
        </w:rPr>
        <w:t>é</w:t>
      </w:r>
      <w:r>
        <w:t>t. A tart</w:t>
      </w:r>
      <w:r>
        <w:rPr>
          <w:rFonts w:ascii="Calibri" w:hAnsi="Calibri" w:cs="Calibri"/>
        </w:rPr>
        <w:t>ó</w:t>
      </w:r>
      <w:r>
        <w:t>s teflon anyagb</w:t>
      </w:r>
      <w:r>
        <w:rPr>
          <w:rFonts w:ascii="Calibri" w:hAnsi="Calibri" w:cs="Calibri"/>
        </w:rPr>
        <w:t>ó</w:t>
      </w:r>
      <w:r>
        <w:t>l k</w:t>
      </w:r>
      <w:r>
        <w:rPr>
          <w:rFonts w:ascii="Calibri" w:hAnsi="Calibri" w:cs="Calibri"/>
        </w:rPr>
        <w:t>é</w:t>
      </w:r>
      <w:r>
        <w:t>sz</w:t>
      </w:r>
      <w:r>
        <w:rPr>
          <w:rFonts w:ascii="Calibri" w:hAnsi="Calibri" w:cs="Calibri"/>
        </w:rPr>
        <w:t>ü</w:t>
      </w:r>
      <w:r>
        <w:t>lt hegy nemcsak hossz</w:t>
      </w:r>
      <w:r>
        <w:rPr>
          <w:rFonts w:ascii="Calibri" w:hAnsi="Calibri" w:cs="Calibri"/>
        </w:rPr>
        <w:t>ú</w:t>
      </w:r>
      <w:r>
        <w:t xml:space="preserve"> </w:t>
      </w:r>
      <w:r>
        <w:rPr>
          <w:rFonts w:ascii="Calibri" w:hAnsi="Calibri" w:cs="Calibri"/>
        </w:rPr>
        <w:t>é</w:t>
      </w:r>
      <w:r>
        <w:t>lettartamot garant</w:t>
      </w:r>
      <w:r>
        <w:rPr>
          <w:rFonts w:ascii="Calibri" w:hAnsi="Calibri" w:cs="Calibri"/>
        </w:rPr>
        <w:t>á</w:t>
      </w:r>
      <w:r>
        <w:t xml:space="preserve">l, hanem stabil </w:t>
      </w:r>
      <w:r>
        <w:rPr>
          <w:rFonts w:ascii="Calibri" w:hAnsi="Calibri" w:cs="Calibri"/>
        </w:rPr>
        <w:t>é</w:t>
      </w:r>
      <w:r>
        <w:t>s megb</w:t>
      </w:r>
      <w:r>
        <w:rPr>
          <w:rFonts w:ascii="Calibri" w:hAnsi="Calibri" w:cs="Calibri"/>
        </w:rPr>
        <w:t>í</w:t>
      </w:r>
      <w:r>
        <w:t>zhat</w:t>
      </w:r>
      <w:r>
        <w:rPr>
          <w:rFonts w:ascii="Calibri" w:hAnsi="Calibri" w:cs="Calibri"/>
        </w:rPr>
        <w:t>ó</w:t>
      </w:r>
      <w:r>
        <w:t xml:space="preserve"> teljes</w:t>
      </w:r>
      <w:r>
        <w:rPr>
          <w:rFonts w:ascii="Calibri" w:hAnsi="Calibri" w:cs="Calibri"/>
        </w:rPr>
        <w:t>í</w:t>
      </w:r>
      <w:r>
        <w:t>tm</w:t>
      </w:r>
      <w:r>
        <w:rPr>
          <w:rFonts w:ascii="Calibri" w:hAnsi="Calibri" w:cs="Calibri"/>
        </w:rPr>
        <w:t>é</w:t>
      </w:r>
      <w:r>
        <w:t>nyt is, amely elengedhetetlen a forraszt</w:t>
      </w:r>
      <w:r>
        <w:rPr>
          <w:rFonts w:ascii="Calibri" w:hAnsi="Calibri" w:cs="Calibri"/>
        </w:rPr>
        <w:t>á</w:t>
      </w:r>
      <w:r>
        <w:t>si munk</w:t>
      </w:r>
      <w:r>
        <w:rPr>
          <w:rFonts w:ascii="Calibri" w:hAnsi="Calibri" w:cs="Calibri"/>
        </w:rPr>
        <w:t>á</w:t>
      </w:r>
      <w:r>
        <w:t>k sor</w:t>
      </w:r>
      <w:r>
        <w:rPr>
          <w:rFonts w:ascii="Calibri" w:hAnsi="Calibri" w:cs="Calibri"/>
        </w:rPr>
        <w:t>á</w:t>
      </w:r>
      <w:r>
        <w:t>n.</w:t>
      </w:r>
    </w:p>
    <w:p w14:paraId="1DB5A1B4" w14:textId="77777777" w:rsidR="00771D40" w:rsidRDefault="00771D40" w:rsidP="00771D40">
      <w:r>
        <w:t>Tartós és precíz megoldás</w:t>
      </w:r>
    </w:p>
    <w:p w14:paraId="663BFF75" w14:textId="02F035D0" w:rsidR="00771D40" w:rsidRDefault="00771D40" w:rsidP="00771D40">
      <w:r>
        <w:rPr>
          <w:rFonts w:ascii="MS Gothic" w:eastAsia="MS Gothic" w:hAnsi="MS Gothic" w:cs="MS Gothic" w:hint="eastAsia"/>
        </w:rPr>
        <w:t> </w:t>
      </w:r>
      <w:r>
        <w:t xml:space="preserve">A </w:t>
      </w:r>
      <w:proofErr w:type="spellStart"/>
      <w:r>
        <w:t>Pro'skit</w:t>
      </w:r>
      <w:proofErr w:type="spellEnd"/>
      <w:r>
        <w:t xml:space="preserve"> póthegy teflonból készült, amely rendkívüli hő- és kopásállóságot biztosít, még intenzív használat esetén is. Ez a hosszú élettartamú kialakítás lehetővé teszi, hogy az ónszippantó hatékonyan és pontosan </w:t>
      </w:r>
      <w:proofErr w:type="spellStart"/>
      <w:r>
        <w:t>működjön</w:t>
      </w:r>
      <w:proofErr w:type="spellEnd"/>
      <w:r>
        <w:t>, minimalizálva az esetleges hibákat vagy anyagveszteséget. A fekete szín nemcsak esztétikus megjelenést nyújt, hanem segít azonosítani a megfelelő tartozékot a készülékhez.</w:t>
      </w:r>
    </w:p>
    <w:p w14:paraId="26C415AE" w14:textId="77777777" w:rsidR="00771D40" w:rsidRDefault="00771D40" w:rsidP="00771D40">
      <w:r>
        <w:t>Könnyű kompatibilitás és egyszerű használat</w:t>
      </w:r>
      <w:r>
        <w:rPr>
          <w:rFonts w:ascii="MS Gothic" w:eastAsia="MS Gothic" w:hAnsi="MS Gothic" w:cs="MS Gothic" w:hint="eastAsia"/>
        </w:rPr>
        <w:t> </w:t>
      </w:r>
    </w:p>
    <w:p w14:paraId="1A4CE323" w14:textId="544D279B" w:rsidR="00771D40" w:rsidRDefault="00771D40" w:rsidP="00771D40">
      <w:r>
        <w:t xml:space="preserve">Ez a póthegy kifejezetten az 8PK-366D típusú </w:t>
      </w:r>
      <w:proofErr w:type="spellStart"/>
      <w:r>
        <w:t>Pro'skit</w:t>
      </w:r>
      <w:proofErr w:type="spellEnd"/>
      <w:r>
        <w:t xml:space="preserve"> ónszippantóval kompatibilis, így a csere és az illeszkedés gyorsan és problémamentesen elvégezhető. Az optimális illeszkedés biztosítja, hogy a készülék továbbra is maximális hatékonysággal végezze munkáját, legyen szó akár professzionális, akár otthoni forrasztási feladatokról.</w:t>
      </w:r>
    </w:p>
    <w:p w14:paraId="12B26286" w14:textId="77777777" w:rsidR="00771D40" w:rsidRDefault="00771D40" w:rsidP="00771D40">
      <w:r>
        <w:t xml:space="preserve">Miért válassza a </w:t>
      </w:r>
      <w:proofErr w:type="spellStart"/>
      <w:r>
        <w:t>Pro'skit</w:t>
      </w:r>
      <w:proofErr w:type="spellEnd"/>
      <w:r>
        <w:t xml:space="preserve"> 508-366A-T póthegyet?</w:t>
      </w:r>
      <w:r>
        <w:rPr>
          <w:rFonts w:ascii="MS Gothic" w:eastAsia="MS Gothic" w:hAnsi="MS Gothic" w:cs="MS Gothic" w:hint="eastAsia"/>
        </w:rPr>
        <w:t> </w:t>
      </w:r>
    </w:p>
    <w:p w14:paraId="607A79FB" w14:textId="77777777" w:rsidR="00771D40" w:rsidRDefault="00771D40" w:rsidP="00771D40">
      <w:r>
        <w:t>– Kiváló minőségű teflon anyag a hosszú élettartam érdekében.</w:t>
      </w:r>
      <w:r>
        <w:rPr>
          <w:rFonts w:ascii="MS Gothic" w:eastAsia="MS Gothic" w:hAnsi="MS Gothic" w:cs="MS Gothic" w:hint="eastAsia"/>
        </w:rPr>
        <w:t> </w:t>
      </w:r>
    </w:p>
    <w:p w14:paraId="55A68114" w14:textId="77777777" w:rsidR="00771D40" w:rsidRDefault="00771D40" w:rsidP="00771D40">
      <w:r>
        <w:t>– Stabil és pontos működés a hatékony forrasztási munkákhoz.</w:t>
      </w:r>
      <w:r>
        <w:rPr>
          <w:rFonts w:ascii="MS Gothic" w:eastAsia="MS Gothic" w:hAnsi="MS Gothic" w:cs="MS Gothic" w:hint="eastAsia"/>
        </w:rPr>
        <w:t> </w:t>
      </w:r>
    </w:p>
    <w:p w14:paraId="6FB2AF82" w14:textId="77777777" w:rsidR="00771D40" w:rsidRDefault="00771D40" w:rsidP="00771D40">
      <w:r>
        <w:t>– Egyszerűen cserélhető, biztosítva a gyors karbantartást.</w:t>
      </w:r>
      <w:r>
        <w:rPr>
          <w:rFonts w:ascii="MS Gothic" w:eastAsia="MS Gothic" w:hAnsi="MS Gothic" w:cs="MS Gothic" w:hint="eastAsia"/>
        </w:rPr>
        <w:t> </w:t>
      </w:r>
    </w:p>
    <w:p w14:paraId="350406DD" w14:textId="77777777" w:rsidR="00771D40" w:rsidRDefault="00771D40" w:rsidP="00771D40">
      <w:r>
        <w:t xml:space="preserve">– Tökéletes kompatibilitás az 8PK-366D típusú </w:t>
      </w:r>
      <w:proofErr w:type="spellStart"/>
      <w:r>
        <w:t>Pro'skit</w:t>
      </w:r>
      <w:proofErr w:type="spellEnd"/>
      <w:r>
        <w:t xml:space="preserve"> ónszippantóval.</w:t>
      </w:r>
      <w:r>
        <w:rPr>
          <w:rFonts w:ascii="MS Gothic" w:eastAsia="MS Gothic" w:hAnsi="MS Gothic" w:cs="MS Gothic" w:hint="eastAsia"/>
        </w:rPr>
        <w:t> </w:t>
      </w:r>
    </w:p>
    <w:p w14:paraId="5CFB1006" w14:textId="2EF5443F" w:rsidR="00771D40" w:rsidRDefault="00771D40" w:rsidP="00771D40">
      <w:r>
        <w:t>– Ideális választás mindennapos, intenzív használatra is.</w:t>
      </w:r>
    </w:p>
    <w:p w14:paraId="41917395" w14:textId="26A2A334" w:rsidR="00F1739A" w:rsidRDefault="00771D40" w:rsidP="00771D40">
      <w:r>
        <w:t xml:space="preserve">Hozza ki a maximumot forrasztóeszközeiből a </w:t>
      </w:r>
      <w:proofErr w:type="spellStart"/>
      <w:r>
        <w:t>Pro'skit</w:t>
      </w:r>
      <w:proofErr w:type="spellEnd"/>
      <w:r>
        <w:t xml:space="preserve"> 508-366A-T pótheggyel! Tökéletesítse munkafolyamatait ezzel a tartós és megbízható kiegészítővel, amely hosszú távon is garantálja az elégedettséget.</w:t>
      </w:r>
    </w:p>
    <w:p w14:paraId="2D9A28F8" w14:textId="77777777" w:rsidR="00771D40" w:rsidRDefault="00771D40" w:rsidP="00771D40">
      <w:r>
        <w:t>8PK-366D típushoz</w:t>
      </w:r>
    </w:p>
    <w:p w14:paraId="0E227B74" w14:textId="77777777" w:rsidR="00771D40" w:rsidRDefault="00771D40" w:rsidP="00771D40">
      <w:r>
        <w:t>hosszú életű, stabil teflon hegy</w:t>
      </w:r>
    </w:p>
    <w:p w14:paraId="6D82C892" w14:textId="5BE6BDF2" w:rsidR="00771D40" w:rsidRPr="005513CB" w:rsidRDefault="00771D40" w:rsidP="00771D40">
      <w:r>
        <w:t>fekete színű</w:t>
      </w:r>
    </w:p>
    <w:sectPr w:rsidR="00771D40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1D40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D6E82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05E42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2025-09-23T07:25:00Z</dcterms:created>
  <dcterms:modified xsi:type="dcterms:W3CDTF">2025-09-23T07:26:00Z</dcterms:modified>
</cp:coreProperties>
</file>