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88DD539" w14:textId="77777777" w:rsidR="002C1AE0" w:rsidRDefault="002C1AE0" w:rsidP="002C1AE0">
      <w:r>
        <w:t>Hogyan biztosíthatja hangdobozai stabil elhelyezését és a legjobb hangzást?</w:t>
      </w:r>
      <w:r>
        <w:rPr>
          <w:rFonts w:ascii="MS Gothic" w:eastAsia="MS Gothic" w:hAnsi="MS Gothic" w:cs="MS Gothic" w:hint="eastAsia"/>
        </w:rPr>
        <w:t> </w:t>
      </w:r>
      <w:r>
        <w:t xml:space="preserve">A SAL HT920 hangdoboz </w:t>
      </w:r>
      <w:r>
        <w:rPr>
          <w:rFonts w:ascii="Calibri" w:hAnsi="Calibri" w:cs="Calibri"/>
        </w:rPr>
        <w:t>á</w:t>
      </w:r>
      <w:r>
        <w:t>llv</w:t>
      </w:r>
      <w:r>
        <w:rPr>
          <w:rFonts w:ascii="Calibri" w:hAnsi="Calibri" w:cs="Calibri"/>
        </w:rPr>
        <w:t>á</w:t>
      </w:r>
      <w:r>
        <w:t>ny a professzion</w:t>
      </w:r>
      <w:r>
        <w:rPr>
          <w:rFonts w:ascii="Calibri" w:hAnsi="Calibri" w:cs="Calibri"/>
        </w:rPr>
        <w:t>á</w:t>
      </w:r>
      <w:r>
        <w:t xml:space="preserve">lis </w:t>
      </w:r>
      <w:r>
        <w:rPr>
          <w:rFonts w:ascii="Calibri" w:hAnsi="Calibri" w:cs="Calibri"/>
        </w:rPr>
        <w:t>é</w:t>
      </w:r>
      <w:r>
        <w:t>s otthoni felhaszn</w:t>
      </w:r>
      <w:r>
        <w:rPr>
          <w:rFonts w:ascii="Calibri" w:hAnsi="Calibri" w:cs="Calibri"/>
        </w:rPr>
        <w:t>á</w:t>
      </w:r>
      <w:r>
        <w:t>l</w:t>
      </w:r>
      <w:r>
        <w:rPr>
          <w:rFonts w:ascii="Calibri" w:hAnsi="Calibri" w:cs="Calibri"/>
        </w:rPr>
        <w:t>ó</w:t>
      </w:r>
      <w:r>
        <w:t>k sz</w:t>
      </w:r>
      <w:r>
        <w:rPr>
          <w:rFonts w:ascii="Calibri" w:hAnsi="Calibri" w:cs="Calibri"/>
        </w:rPr>
        <w:t>á</w:t>
      </w:r>
      <w:r>
        <w:t>m</w:t>
      </w:r>
      <w:r>
        <w:rPr>
          <w:rFonts w:ascii="Calibri" w:hAnsi="Calibri" w:cs="Calibri"/>
        </w:rPr>
        <w:t>á</w:t>
      </w:r>
      <w:r>
        <w:t>ra egyar</w:t>
      </w:r>
      <w:r>
        <w:rPr>
          <w:rFonts w:ascii="Calibri" w:hAnsi="Calibri" w:cs="Calibri"/>
        </w:rPr>
        <w:t>á</w:t>
      </w:r>
      <w:r>
        <w:t>nt ide</w:t>
      </w:r>
      <w:r>
        <w:rPr>
          <w:rFonts w:ascii="Calibri" w:hAnsi="Calibri" w:cs="Calibri"/>
        </w:rPr>
        <w:t>á</w:t>
      </w:r>
      <w:r>
        <w:t>lis v</w:t>
      </w:r>
      <w:r>
        <w:rPr>
          <w:rFonts w:ascii="Calibri" w:hAnsi="Calibri" w:cs="Calibri"/>
        </w:rPr>
        <w:t>á</w:t>
      </w:r>
      <w:r>
        <w:t>laszt</w:t>
      </w:r>
      <w:r>
        <w:rPr>
          <w:rFonts w:ascii="Calibri" w:hAnsi="Calibri" w:cs="Calibri"/>
        </w:rPr>
        <w:t>á</w:t>
      </w:r>
      <w:r>
        <w:t>s. Ez a massz</w:t>
      </w:r>
      <w:r>
        <w:rPr>
          <w:rFonts w:ascii="Calibri" w:hAnsi="Calibri" w:cs="Calibri"/>
        </w:rPr>
        <w:t>í</w:t>
      </w:r>
      <w:r>
        <w:t>v, stabil konstrukci</w:t>
      </w:r>
      <w:r>
        <w:rPr>
          <w:rFonts w:ascii="Calibri" w:hAnsi="Calibri" w:cs="Calibri"/>
        </w:rPr>
        <w:t>ó</w:t>
      </w:r>
      <w:r>
        <w:t>val rendelkez</w:t>
      </w:r>
      <w:r>
        <w:rPr>
          <w:rFonts w:ascii="Calibri" w:hAnsi="Calibri" w:cs="Calibri"/>
        </w:rPr>
        <w:t>ő</w:t>
      </w:r>
      <w:r>
        <w:t xml:space="preserve"> </w:t>
      </w:r>
      <w:r>
        <w:rPr>
          <w:rFonts w:ascii="Calibri" w:hAnsi="Calibri" w:cs="Calibri"/>
        </w:rPr>
        <w:t>á</w:t>
      </w:r>
      <w:r>
        <w:t>llv</w:t>
      </w:r>
      <w:r>
        <w:rPr>
          <w:rFonts w:ascii="Calibri" w:hAnsi="Calibri" w:cs="Calibri"/>
        </w:rPr>
        <w:t>á</w:t>
      </w:r>
      <w:r>
        <w:t>ny ak</w:t>
      </w:r>
      <w:r>
        <w:rPr>
          <w:rFonts w:ascii="Calibri" w:hAnsi="Calibri" w:cs="Calibri"/>
        </w:rPr>
        <w:t>á</w:t>
      </w:r>
      <w:r>
        <w:t>r 40 kg teherb</w:t>
      </w:r>
      <w:r>
        <w:rPr>
          <w:rFonts w:ascii="Calibri" w:hAnsi="Calibri" w:cs="Calibri"/>
        </w:rPr>
        <w:t>í</w:t>
      </w:r>
      <w:r>
        <w:t>r</w:t>
      </w:r>
      <w:r>
        <w:rPr>
          <w:rFonts w:ascii="Calibri" w:hAnsi="Calibri" w:cs="Calibri"/>
        </w:rPr>
        <w:t>á</w:t>
      </w:r>
      <w:r>
        <w:t xml:space="preserve">ssal is rendelkezik, </w:t>
      </w:r>
      <w:r>
        <w:rPr>
          <w:rFonts w:ascii="Calibri" w:hAnsi="Calibri" w:cs="Calibri"/>
        </w:rPr>
        <w:t>í</w:t>
      </w:r>
      <w:r>
        <w:t>gy b</w:t>
      </w:r>
      <w:r>
        <w:rPr>
          <w:rFonts w:ascii="Calibri" w:hAnsi="Calibri" w:cs="Calibri"/>
        </w:rPr>
        <w:t>á</w:t>
      </w:r>
      <w:r>
        <w:t>rmely szabv</w:t>
      </w:r>
      <w:r>
        <w:rPr>
          <w:rFonts w:ascii="Calibri" w:hAnsi="Calibri" w:cs="Calibri"/>
        </w:rPr>
        <w:t>á</w:t>
      </w:r>
      <w:r>
        <w:t xml:space="preserve">nyos, 35 mm </w:t>
      </w:r>
      <w:r>
        <w:rPr>
          <w:rFonts w:ascii="Calibri" w:hAnsi="Calibri" w:cs="Calibri"/>
        </w:rPr>
        <w:t>á</w:t>
      </w:r>
      <w:r>
        <w:t>tm</w:t>
      </w:r>
      <w:r>
        <w:rPr>
          <w:rFonts w:ascii="Calibri" w:hAnsi="Calibri" w:cs="Calibri"/>
        </w:rPr>
        <w:t>é</w:t>
      </w:r>
      <w:r>
        <w:t>r</w:t>
      </w:r>
      <w:r>
        <w:rPr>
          <w:rFonts w:ascii="Calibri" w:hAnsi="Calibri" w:cs="Calibri"/>
        </w:rPr>
        <w:t>ő</w:t>
      </w:r>
      <w:r>
        <w:t>j</w:t>
      </w:r>
      <w:r>
        <w:rPr>
          <w:rFonts w:ascii="Calibri" w:hAnsi="Calibri" w:cs="Calibri"/>
        </w:rPr>
        <w:t>ű</w:t>
      </w:r>
      <w:r>
        <w:t xml:space="preserve"> r</w:t>
      </w:r>
      <w:r>
        <w:rPr>
          <w:rFonts w:ascii="Calibri" w:hAnsi="Calibri" w:cs="Calibri"/>
        </w:rPr>
        <w:t>ú</w:t>
      </w:r>
      <w:r>
        <w:t>ddal ell</w:t>
      </w:r>
      <w:r>
        <w:rPr>
          <w:rFonts w:ascii="Calibri" w:hAnsi="Calibri" w:cs="Calibri"/>
        </w:rPr>
        <w:t>á</w:t>
      </w:r>
      <w:r>
        <w:t>tott hangdoboz biztons</w:t>
      </w:r>
      <w:r>
        <w:rPr>
          <w:rFonts w:ascii="Calibri" w:hAnsi="Calibri" w:cs="Calibri"/>
        </w:rPr>
        <w:t>á</w:t>
      </w:r>
      <w:r>
        <w:t>gosan elhelyezhet</w:t>
      </w:r>
      <w:r>
        <w:rPr>
          <w:rFonts w:ascii="Calibri" w:hAnsi="Calibri" w:cs="Calibri"/>
        </w:rPr>
        <w:t>ő</w:t>
      </w:r>
      <w:r>
        <w:t xml:space="preserve"> rajta. A 6 </w:t>
      </w:r>
      <w:r>
        <w:rPr>
          <w:rFonts w:ascii="Calibri" w:hAnsi="Calibri" w:cs="Calibri"/>
        </w:rPr>
        <w:t>á</w:t>
      </w:r>
      <w:r>
        <w:t>ll</w:t>
      </w:r>
      <w:r>
        <w:rPr>
          <w:rFonts w:ascii="Calibri" w:hAnsi="Calibri" w:cs="Calibri"/>
        </w:rPr>
        <w:t>í</w:t>
      </w:r>
      <w:r>
        <w:t>that</w:t>
      </w:r>
      <w:r>
        <w:rPr>
          <w:rFonts w:ascii="Calibri" w:hAnsi="Calibri" w:cs="Calibri"/>
        </w:rPr>
        <w:t>ó</w:t>
      </w:r>
      <w:r>
        <w:t xml:space="preserve"> magass</w:t>
      </w:r>
      <w:r>
        <w:rPr>
          <w:rFonts w:ascii="Calibri" w:hAnsi="Calibri" w:cs="Calibri"/>
        </w:rPr>
        <w:t>á</w:t>
      </w:r>
      <w:r>
        <w:t>gi fokozat lehet</w:t>
      </w:r>
      <w:r>
        <w:rPr>
          <w:rFonts w:ascii="Calibri" w:hAnsi="Calibri" w:cs="Calibri"/>
        </w:rPr>
        <w:t>ő</w:t>
      </w:r>
      <w:r>
        <w:t>v</w:t>
      </w:r>
      <w:r>
        <w:rPr>
          <w:rFonts w:ascii="Calibri" w:hAnsi="Calibri" w:cs="Calibri"/>
        </w:rPr>
        <w:t>é</w:t>
      </w:r>
      <w:r>
        <w:t xml:space="preserve"> teszi, hogy hangdobozait a legoptim</w:t>
      </w:r>
      <w:r>
        <w:rPr>
          <w:rFonts w:ascii="Calibri" w:hAnsi="Calibri" w:cs="Calibri"/>
        </w:rPr>
        <w:t>á</w:t>
      </w:r>
      <w:r>
        <w:t>lisabb poz</w:t>
      </w:r>
      <w:r>
        <w:rPr>
          <w:rFonts w:ascii="Calibri" w:hAnsi="Calibri" w:cs="Calibri"/>
        </w:rPr>
        <w:t>í</w:t>
      </w:r>
      <w:r>
        <w:t>ci</w:t>
      </w:r>
      <w:r>
        <w:rPr>
          <w:rFonts w:ascii="Calibri" w:hAnsi="Calibri" w:cs="Calibri"/>
        </w:rPr>
        <w:t>ó</w:t>
      </w:r>
      <w:r>
        <w:t xml:space="preserve">ba </w:t>
      </w:r>
      <w:r>
        <w:rPr>
          <w:rFonts w:ascii="Calibri" w:hAnsi="Calibri" w:cs="Calibri"/>
        </w:rPr>
        <w:t>á</w:t>
      </w:r>
      <w:r>
        <w:t>ll</w:t>
      </w:r>
      <w:r>
        <w:rPr>
          <w:rFonts w:ascii="Calibri" w:hAnsi="Calibri" w:cs="Calibri"/>
        </w:rPr>
        <w:t>í</w:t>
      </w:r>
      <w:r>
        <w:t>tsa, ezzel garant</w:t>
      </w:r>
      <w:r>
        <w:rPr>
          <w:rFonts w:ascii="Calibri" w:hAnsi="Calibri" w:cs="Calibri"/>
        </w:rPr>
        <w:t>á</w:t>
      </w:r>
      <w:r>
        <w:t>lva a t</w:t>
      </w:r>
      <w:r>
        <w:rPr>
          <w:rFonts w:ascii="Calibri" w:hAnsi="Calibri" w:cs="Calibri"/>
        </w:rPr>
        <w:t>ö</w:t>
      </w:r>
      <w:r>
        <w:t>k</w:t>
      </w:r>
      <w:r>
        <w:rPr>
          <w:rFonts w:ascii="Calibri" w:hAnsi="Calibri" w:cs="Calibri"/>
        </w:rPr>
        <w:t>é</w:t>
      </w:r>
      <w:r>
        <w:t>letes hangzásélményt.</w:t>
      </w:r>
    </w:p>
    <w:p w14:paraId="0439BAFC" w14:textId="77777777" w:rsidR="002C1AE0" w:rsidRDefault="002C1AE0" w:rsidP="002C1AE0"/>
    <w:p w14:paraId="35C70FC4" w14:textId="77777777" w:rsidR="002C1AE0" w:rsidRDefault="002C1AE0" w:rsidP="002C1AE0">
      <w:r>
        <w:t>Masszív és biztonságos kialakítás</w:t>
      </w:r>
      <w:r>
        <w:rPr>
          <w:rFonts w:ascii="MS Gothic" w:eastAsia="MS Gothic" w:hAnsi="MS Gothic" w:cs="MS Gothic" w:hint="eastAsia"/>
        </w:rPr>
        <w:t> </w:t>
      </w:r>
      <w:r>
        <w:t xml:space="preserve">Az </w:t>
      </w:r>
      <w:r>
        <w:rPr>
          <w:rFonts w:ascii="Calibri" w:hAnsi="Calibri" w:cs="Calibri"/>
        </w:rPr>
        <w:t>á</w:t>
      </w:r>
      <w:r>
        <w:t>llv</w:t>
      </w:r>
      <w:r>
        <w:rPr>
          <w:rFonts w:ascii="Calibri" w:hAnsi="Calibri" w:cs="Calibri"/>
        </w:rPr>
        <w:t>á</w:t>
      </w:r>
      <w:r>
        <w:t>ny strapab</w:t>
      </w:r>
      <w:r>
        <w:rPr>
          <w:rFonts w:ascii="Calibri" w:hAnsi="Calibri" w:cs="Calibri"/>
        </w:rPr>
        <w:t>í</w:t>
      </w:r>
      <w:r>
        <w:t>r</w:t>
      </w:r>
      <w:r>
        <w:rPr>
          <w:rFonts w:ascii="Calibri" w:hAnsi="Calibri" w:cs="Calibri"/>
        </w:rPr>
        <w:t>ó</w:t>
      </w:r>
      <w:r>
        <w:t xml:space="preserve"> szerkezete hossz</w:t>
      </w:r>
      <w:r>
        <w:rPr>
          <w:rFonts w:ascii="Calibri" w:hAnsi="Calibri" w:cs="Calibri"/>
        </w:rPr>
        <w:t>ú</w:t>
      </w:r>
      <w:r>
        <w:t xml:space="preserve"> t</w:t>
      </w:r>
      <w:r>
        <w:rPr>
          <w:rFonts w:ascii="Calibri" w:hAnsi="Calibri" w:cs="Calibri"/>
        </w:rPr>
        <w:t>á</w:t>
      </w:r>
      <w:r>
        <w:t>v</w:t>
      </w:r>
      <w:r>
        <w:rPr>
          <w:rFonts w:ascii="Calibri" w:hAnsi="Calibri" w:cs="Calibri"/>
        </w:rPr>
        <w:t>ú</w:t>
      </w:r>
      <w:r>
        <w:t xml:space="preserve"> stabilit</w:t>
      </w:r>
      <w:r>
        <w:rPr>
          <w:rFonts w:ascii="Calibri" w:hAnsi="Calibri" w:cs="Calibri"/>
        </w:rPr>
        <w:t>á</w:t>
      </w:r>
      <w:r>
        <w:t>st biztos</w:t>
      </w:r>
      <w:r>
        <w:rPr>
          <w:rFonts w:ascii="Calibri" w:hAnsi="Calibri" w:cs="Calibri"/>
        </w:rPr>
        <w:t>í</w:t>
      </w:r>
      <w:r>
        <w:t>t, mik</w:t>
      </w:r>
      <w:r>
        <w:rPr>
          <w:rFonts w:ascii="Calibri" w:hAnsi="Calibri" w:cs="Calibri"/>
        </w:rPr>
        <w:t>ö</w:t>
      </w:r>
      <w:r>
        <w:t>zben k</w:t>
      </w:r>
      <w:r>
        <w:rPr>
          <w:rFonts w:ascii="Calibri" w:hAnsi="Calibri" w:cs="Calibri"/>
        </w:rPr>
        <w:t>ö</w:t>
      </w:r>
      <w:r>
        <w:t>nnyen kezelhet</w:t>
      </w:r>
      <w:r>
        <w:rPr>
          <w:rFonts w:ascii="Calibri" w:hAnsi="Calibri" w:cs="Calibri"/>
        </w:rPr>
        <w:t>ő</w:t>
      </w:r>
      <w:r>
        <w:t xml:space="preserve"> </w:t>
      </w:r>
      <w:r>
        <w:rPr>
          <w:rFonts w:ascii="Calibri" w:hAnsi="Calibri" w:cs="Calibri"/>
        </w:rPr>
        <w:t>é</w:t>
      </w:r>
      <w:r>
        <w:t>s sz</w:t>
      </w:r>
      <w:r>
        <w:rPr>
          <w:rFonts w:ascii="Calibri" w:hAnsi="Calibri" w:cs="Calibri"/>
        </w:rPr>
        <w:t>á</w:t>
      </w:r>
      <w:r>
        <w:t>ll</w:t>
      </w:r>
      <w:r>
        <w:rPr>
          <w:rFonts w:ascii="Calibri" w:hAnsi="Calibri" w:cs="Calibri"/>
        </w:rPr>
        <w:t>í</w:t>
      </w:r>
      <w:r>
        <w:t>that</w:t>
      </w:r>
      <w:r>
        <w:rPr>
          <w:rFonts w:ascii="Calibri" w:hAnsi="Calibri" w:cs="Calibri"/>
        </w:rPr>
        <w:t>ó</w:t>
      </w:r>
      <w:r>
        <w:t>. A cs</w:t>
      </w:r>
      <w:r>
        <w:rPr>
          <w:rFonts w:ascii="Calibri" w:hAnsi="Calibri" w:cs="Calibri"/>
        </w:rPr>
        <w:t>ú</w:t>
      </w:r>
      <w:r>
        <w:t>sz</w:t>
      </w:r>
      <w:r>
        <w:rPr>
          <w:rFonts w:ascii="Calibri" w:hAnsi="Calibri" w:cs="Calibri"/>
        </w:rPr>
        <w:t>á</w:t>
      </w:r>
      <w:r>
        <w:t>sg</w:t>
      </w:r>
      <w:r>
        <w:rPr>
          <w:rFonts w:ascii="Calibri" w:hAnsi="Calibri" w:cs="Calibri"/>
        </w:rPr>
        <w:t>á</w:t>
      </w:r>
      <w:r>
        <w:t>tl</w:t>
      </w:r>
      <w:r>
        <w:rPr>
          <w:rFonts w:ascii="Calibri" w:hAnsi="Calibri" w:cs="Calibri"/>
        </w:rPr>
        <w:t>ó</w:t>
      </w:r>
      <w:r>
        <w:t>val ell</w:t>
      </w:r>
      <w:r>
        <w:rPr>
          <w:rFonts w:ascii="Calibri" w:hAnsi="Calibri" w:cs="Calibri"/>
        </w:rPr>
        <w:t>á</w:t>
      </w:r>
      <w:r>
        <w:t>tott l</w:t>
      </w:r>
      <w:r>
        <w:rPr>
          <w:rFonts w:ascii="Calibri" w:hAnsi="Calibri" w:cs="Calibri"/>
        </w:rPr>
        <w:t>á</w:t>
      </w:r>
      <w:r>
        <w:t xml:space="preserve">bak </w:t>
      </w:r>
      <w:r>
        <w:rPr>
          <w:rFonts w:ascii="Calibri" w:hAnsi="Calibri" w:cs="Calibri"/>
        </w:rPr>
        <w:t>é</w:t>
      </w:r>
      <w:r>
        <w:t>s a be</w:t>
      </w:r>
      <w:r>
        <w:rPr>
          <w:rFonts w:ascii="Calibri" w:hAnsi="Calibri" w:cs="Calibri"/>
        </w:rPr>
        <w:t>é</w:t>
      </w:r>
      <w:r>
        <w:t>p</w:t>
      </w:r>
      <w:r>
        <w:rPr>
          <w:rFonts w:ascii="Calibri" w:hAnsi="Calibri" w:cs="Calibri"/>
        </w:rPr>
        <w:t>í</w:t>
      </w:r>
      <w:r>
        <w:t>tett biztons</w:t>
      </w:r>
      <w:r>
        <w:rPr>
          <w:rFonts w:ascii="Calibri" w:hAnsi="Calibri" w:cs="Calibri"/>
        </w:rPr>
        <w:t>á</w:t>
      </w:r>
      <w:r>
        <w:t>gi retesz extra v</w:t>
      </w:r>
      <w:r>
        <w:rPr>
          <w:rFonts w:ascii="Calibri" w:hAnsi="Calibri" w:cs="Calibri"/>
        </w:rPr>
        <w:t>é</w:t>
      </w:r>
      <w:r>
        <w:t>delmet ny</w:t>
      </w:r>
      <w:r>
        <w:rPr>
          <w:rFonts w:ascii="Calibri" w:hAnsi="Calibri" w:cs="Calibri"/>
        </w:rPr>
        <w:t>ú</w:t>
      </w:r>
      <w:r>
        <w:t>jtanak, hogy a hangdoboz mindig a hely</w:t>
      </w:r>
      <w:r>
        <w:rPr>
          <w:rFonts w:ascii="Calibri" w:hAnsi="Calibri" w:cs="Calibri"/>
        </w:rPr>
        <w:t>é</w:t>
      </w:r>
      <w:r>
        <w:t>n maradjon. A 0,8 m</w:t>
      </w:r>
      <w:r>
        <w:rPr>
          <w:rFonts w:ascii="Calibri" w:hAnsi="Calibri" w:cs="Calibri"/>
        </w:rPr>
        <w:t>é</w:t>
      </w:r>
      <w:r>
        <w:t>teres talp</w:t>
      </w:r>
      <w:r>
        <w:rPr>
          <w:rFonts w:ascii="Calibri" w:hAnsi="Calibri" w:cs="Calibri"/>
        </w:rPr>
        <w:t>á</w:t>
      </w:r>
      <w:r>
        <w:t>tm</w:t>
      </w:r>
      <w:r>
        <w:rPr>
          <w:rFonts w:ascii="Calibri" w:hAnsi="Calibri" w:cs="Calibri"/>
        </w:rPr>
        <w:t>é</w:t>
      </w:r>
      <w:r>
        <w:t>r</w:t>
      </w:r>
      <w:r>
        <w:rPr>
          <w:rFonts w:ascii="Calibri" w:hAnsi="Calibri" w:cs="Calibri"/>
        </w:rPr>
        <w:t>ő</w:t>
      </w:r>
      <w:r>
        <w:t xml:space="preserve"> tov</w:t>
      </w:r>
      <w:r>
        <w:rPr>
          <w:rFonts w:ascii="Calibri" w:hAnsi="Calibri" w:cs="Calibri"/>
        </w:rPr>
        <w:t>á</w:t>
      </w:r>
      <w:r>
        <w:t>bb n</w:t>
      </w:r>
      <w:r>
        <w:rPr>
          <w:rFonts w:ascii="Calibri" w:hAnsi="Calibri" w:cs="Calibri"/>
        </w:rPr>
        <w:t>ö</w:t>
      </w:r>
      <w:r>
        <w:t xml:space="preserve">veli az </w:t>
      </w:r>
      <w:r>
        <w:rPr>
          <w:rFonts w:ascii="Calibri" w:hAnsi="Calibri" w:cs="Calibri"/>
        </w:rPr>
        <w:t>á</w:t>
      </w:r>
      <w:r>
        <w:t>llv</w:t>
      </w:r>
      <w:r>
        <w:rPr>
          <w:rFonts w:ascii="Calibri" w:hAnsi="Calibri" w:cs="Calibri"/>
        </w:rPr>
        <w:t>á</w:t>
      </w:r>
      <w:r>
        <w:t>ny stabilit</w:t>
      </w:r>
      <w:r>
        <w:rPr>
          <w:rFonts w:ascii="Calibri" w:hAnsi="Calibri" w:cs="Calibri"/>
        </w:rPr>
        <w:t>á</w:t>
      </w:r>
      <w:r>
        <w:t>s</w:t>
      </w:r>
      <w:r>
        <w:rPr>
          <w:rFonts w:ascii="Calibri" w:hAnsi="Calibri" w:cs="Calibri"/>
        </w:rPr>
        <w:t>á</w:t>
      </w:r>
      <w:r>
        <w:t>t, ami k</w:t>
      </w:r>
      <w:r>
        <w:rPr>
          <w:rFonts w:ascii="Calibri" w:hAnsi="Calibri" w:cs="Calibri"/>
        </w:rPr>
        <w:t>ü</w:t>
      </w:r>
      <w:r>
        <w:t>l</w:t>
      </w:r>
      <w:r>
        <w:rPr>
          <w:rFonts w:ascii="Calibri" w:hAnsi="Calibri" w:cs="Calibri"/>
        </w:rPr>
        <w:t>ö</w:t>
      </w:r>
      <w:r>
        <w:t>n</w:t>
      </w:r>
      <w:r>
        <w:rPr>
          <w:rFonts w:ascii="Calibri" w:hAnsi="Calibri" w:cs="Calibri"/>
        </w:rPr>
        <w:t>ö</w:t>
      </w:r>
      <w:r>
        <w:t>sen fontos nagyobb vagy nehezebb hangdobozok eset</w:t>
      </w:r>
      <w:r>
        <w:rPr>
          <w:rFonts w:ascii="Calibri" w:hAnsi="Calibri" w:cs="Calibri"/>
        </w:rPr>
        <w:t>é</w:t>
      </w:r>
      <w:r>
        <w:t>n.</w:t>
      </w:r>
    </w:p>
    <w:p w14:paraId="30B4B137" w14:textId="77777777" w:rsidR="002C1AE0" w:rsidRDefault="002C1AE0" w:rsidP="002C1AE0"/>
    <w:p w14:paraId="1EFF4ABF" w14:textId="77777777" w:rsidR="002C1AE0" w:rsidRDefault="002C1AE0" w:rsidP="002C1AE0">
      <w:r>
        <w:t>Állítható magasság a tökéletes hangzásért</w:t>
      </w:r>
      <w:r>
        <w:rPr>
          <w:rFonts w:ascii="MS Gothic" w:eastAsia="MS Gothic" w:hAnsi="MS Gothic" w:cs="MS Gothic" w:hint="eastAsia"/>
        </w:rPr>
        <w:t> </w:t>
      </w:r>
    </w:p>
    <w:p w14:paraId="42E34AF7" w14:textId="77777777" w:rsidR="002C1AE0" w:rsidRDefault="002C1AE0" w:rsidP="002C1AE0">
      <w:r>
        <w:t>A SAL HT920 állvány 6 magassági fokozattal rendelkezik, így a magasság 110 cm-től egészen 175 cm-ig állítható. Ez lehetővé teszi, hogy a hangdobozt az optimális hallgatási szögbe helyezze, legyen szó stúdiómunkáról, színpadi használatról vagy otthoni moziélményről. A szabványos, 35 mm átmérőjű tartórúd kompatibilis a legtöbb hangdobozzal.</w:t>
      </w:r>
    </w:p>
    <w:p w14:paraId="24BFCDCF" w14:textId="77777777" w:rsidR="002C1AE0" w:rsidRDefault="002C1AE0" w:rsidP="002C1AE0"/>
    <w:p w14:paraId="6D473D23" w14:textId="77777777" w:rsidR="002C1AE0" w:rsidRDefault="002C1AE0" w:rsidP="002C1AE0">
      <w:r>
        <w:t>Könnyű kezelhetőség és kompakt kialakítás</w:t>
      </w:r>
      <w:r>
        <w:rPr>
          <w:rFonts w:ascii="MS Gothic" w:eastAsia="MS Gothic" w:hAnsi="MS Gothic" w:cs="MS Gothic" w:hint="eastAsia"/>
        </w:rPr>
        <w:t> </w:t>
      </w:r>
    </w:p>
    <w:p w14:paraId="610157BB" w14:textId="77777777" w:rsidR="002C1AE0" w:rsidRDefault="002C1AE0" w:rsidP="002C1AE0">
      <w:r>
        <w:t>Az állvány mindössze 3,3 kg önsúlyú, így könnyen mozgatható és tárolható. Kompakt méretének köszönhetően szállítása is egyszerű, ezért ideális választás mobil alkalmazásokhoz, például zenekarok, DJ-k vagy rendezvényszervezők számára.</w:t>
      </w:r>
    </w:p>
    <w:p w14:paraId="0B8F900E" w14:textId="77777777" w:rsidR="002C1AE0" w:rsidRDefault="002C1AE0" w:rsidP="002C1AE0"/>
    <w:p w14:paraId="1D962AE0" w14:textId="77777777" w:rsidR="002C1AE0" w:rsidRDefault="002C1AE0" w:rsidP="002C1AE0">
      <w:r>
        <w:t>Miért válassza a SAL HT920 hangdoboz állványt?</w:t>
      </w:r>
    </w:p>
    <w:p w14:paraId="24F79949" w14:textId="77777777" w:rsidR="002C1AE0" w:rsidRDefault="002C1AE0" w:rsidP="002C1AE0"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Stabil és masszív kialakítás, amely hosszú távú megbízhatóságot garantál.</w:t>
      </w:r>
    </w:p>
    <w:p w14:paraId="49C04B0D" w14:textId="77777777" w:rsidR="002C1AE0" w:rsidRDefault="002C1AE0" w:rsidP="002C1AE0"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Állítható magasság a tökéletes hangzásélmény érdekében.</w:t>
      </w:r>
      <w:r>
        <w:rPr>
          <w:rFonts w:ascii="MS Gothic" w:eastAsia="MS Gothic" w:hAnsi="MS Gothic" w:cs="MS Gothic" w:hint="eastAsia"/>
        </w:rPr>
        <w:t> </w:t>
      </w:r>
    </w:p>
    <w:p w14:paraId="710C2123" w14:textId="77777777" w:rsidR="002C1AE0" w:rsidRDefault="002C1AE0" w:rsidP="002C1AE0">
      <w:r>
        <w:t>– Kompatibilis a legtöbb szabványos hangdobozzal.</w:t>
      </w:r>
      <w:r>
        <w:rPr>
          <w:rFonts w:ascii="MS Gothic" w:eastAsia="MS Gothic" w:hAnsi="MS Gothic" w:cs="MS Gothic" w:hint="eastAsia"/>
        </w:rPr>
        <w:t> </w:t>
      </w:r>
    </w:p>
    <w:p w14:paraId="79603FBC" w14:textId="77777777" w:rsidR="002C1AE0" w:rsidRDefault="002C1AE0" w:rsidP="002C1AE0">
      <w:r>
        <w:t>– Könnyű kezelhetőség és szállíthatóság.</w:t>
      </w:r>
      <w:r>
        <w:rPr>
          <w:rFonts w:ascii="MS Gothic" w:eastAsia="MS Gothic" w:hAnsi="MS Gothic" w:cs="MS Gothic" w:hint="eastAsia"/>
        </w:rPr>
        <w:t> </w:t>
      </w:r>
    </w:p>
    <w:p w14:paraId="7C7A1198" w14:textId="77777777" w:rsidR="002C1AE0" w:rsidRDefault="002C1AE0" w:rsidP="002C1AE0">
      <w:r>
        <w:t>– Biztonsági retesz és csúszásgátló lábak a maximális védelemért.</w:t>
      </w:r>
    </w:p>
    <w:p w14:paraId="7201EF9F" w14:textId="77777777" w:rsidR="002C1AE0" w:rsidRDefault="002C1AE0" w:rsidP="002C1AE0"/>
    <w:p w14:paraId="6FB9C85C" w14:textId="4F52AD42" w:rsidR="002C1AE0" w:rsidRDefault="002C1AE0" w:rsidP="002C1AE0">
      <w:r>
        <w:t>Hozza ki hangrendszeréből a legjobbat a SAL HT920 hangdoboz állvány segítségével! Teremtsen tökéletes hangzást bármely környezetben, és élvezze a professzionális minőségű megoldást. Rendelje meg most, és tegye még emlékezetesebbé eseményeit vagy otthoni szórakozását!</w:t>
      </w:r>
    </w:p>
    <w:p w14:paraId="6678258A" w14:textId="19305F03" w:rsidR="002C1AE0" w:rsidRDefault="002C1AE0" w:rsidP="002C1AE0">
      <w:r>
        <w:t>masszív, stabil konstrukció</w:t>
      </w:r>
    </w:p>
    <w:p w14:paraId="2A450616" w14:textId="77777777" w:rsidR="002C1AE0" w:rsidRDefault="002C1AE0" w:rsidP="002C1AE0">
      <w:r>
        <w:lastRenderedPageBreak/>
        <w:t>csúszásgátlóval ellátott lábak</w:t>
      </w:r>
    </w:p>
    <w:p w14:paraId="3507437F" w14:textId="77777777" w:rsidR="002C1AE0" w:rsidRDefault="002C1AE0" w:rsidP="002C1AE0">
      <w:r>
        <w:t>biztonsági retesz</w:t>
      </w:r>
    </w:p>
    <w:p w14:paraId="72B5403E" w14:textId="77777777" w:rsidR="002C1AE0" w:rsidRDefault="002C1AE0" w:rsidP="002C1AE0">
      <w:r>
        <w:t>a tartórúd átmérője 35mm</w:t>
      </w:r>
    </w:p>
    <w:p w14:paraId="2E6E73F3" w14:textId="77777777" w:rsidR="002C1AE0" w:rsidRDefault="002C1AE0" w:rsidP="002C1AE0">
      <w:r>
        <w:t>állítható magasság: 110-175cm</w:t>
      </w:r>
    </w:p>
    <w:p w14:paraId="5E62FAA1" w14:textId="77777777" w:rsidR="002C1AE0" w:rsidRDefault="002C1AE0" w:rsidP="002C1AE0">
      <w:r>
        <w:t>6 magassági fokozat</w:t>
      </w:r>
    </w:p>
    <w:p w14:paraId="1635EC06" w14:textId="77777777" w:rsidR="002C1AE0" w:rsidRDefault="002C1AE0" w:rsidP="002C1AE0">
      <w:r>
        <w:t>teherbírás: max.40kg</w:t>
      </w:r>
    </w:p>
    <w:p w14:paraId="2DAC6D7C" w14:textId="77777777" w:rsidR="002C1AE0" w:rsidRDefault="002C1AE0" w:rsidP="002C1AE0">
      <w:r>
        <w:t>talpátmérő: 0.8m</w:t>
      </w:r>
    </w:p>
    <w:p w14:paraId="79116F65" w14:textId="4AF0F694" w:rsidR="00FB707D" w:rsidRPr="005513CB" w:rsidRDefault="002C1AE0" w:rsidP="002C1AE0">
      <w:r>
        <w:t>önsúly: 3.3kg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D6547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C1AE0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A5A60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0A61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E53CD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2F7A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307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2025-05-22T13:32:00Z</dcterms:modified>
</cp:coreProperties>
</file>