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F4192CD" w14:textId="77777777" w:rsidR="00DE2009" w:rsidRDefault="00DE2009" w:rsidP="00DE2009">
      <w:r>
        <w:t>kültéri felhasználhatóság</w:t>
      </w:r>
    </w:p>
    <w:p w14:paraId="37634C3E" w14:textId="71A9AC32" w:rsidR="00481B83" w:rsidRPr="00481B83" w:rsidRDefault="00DE2009" w:rsidP="00DE2009">
      <w:r>
        <w:t xml:space="preserve">felhasználható a Somogyi </w:t>
      </w:r>
      <w:proofErr w:type="spellStart"/>
      <w:r>
        <w:t>Elektronic</w:t>
      </w:r>
      <w:proofErr w:type="spellEnd"/>
      <w:r>
        <w:t xml:space="preserve"> által forgalmazott KTI, KTF és KTH fényfüzérekhez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481B83"/>
    <w:rsid w:val="00816554"/>
    <w:rsid w:val="009F0A48"/>
    <w:rsid w:val="00B24935"/>
    <w:rsid w:val="00CC1D98"/>
    <w:rsid w:val="00D3266B"/>
    <w:rsid w:val="00DE2009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2022-08-16T12:29:00Z</dcterms:modified>
</cp:coreProperties>
</file>