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BE791" w14:textId="62692B92" w:rsidR="0054511A" w:rsidRPr="0054511A" w:rsidRDefault="0054511A" w:rsidP="0054511A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TWFR100C</w:t>
      </w:r>
    </w:p>
    <w:p w14:paraId="1FE91D47" w14:textId="6EEF77A5" w:rsidR="0054511A" w:rsidRDefault="0054511A" w:rsidP="0054511A">
      <w:pPr>
        <w:pStyle w:val="Listaszerbekezds"/>
        <w:numPr>
          <w:ilvl w:val="0"/>
          <w:numId w:val="1"/>
        </w:numPr>
      </w:pPr>
      <w:r>
        <w:t>teljesítmény: 60W</w:t>
      </w:r>
    </w:p>
    <w:p w14:paraId="4D14E8F6" w14:textId="77777777" w:rsidR="0054511A" w:rsidRDefault="0054511A" w:rsidP="0054511A">
      <w:pPr>
        <w:pStyle w:val="Listaszerbekezds"/>
        <w:numPr>
          <w:ilvl w:val="0"/>
          <w:numId w:val="1"/>
        </w:numPr>
      </w:pPr>
      <w:r>
        <w:t>4 üzemmód: normál, természetes szél, éjszakai, automata</w:t>
      </w:r>
    </w:p>
    <w:p w14:paraId="3639F9BD" w14:textId="77777777" w:rsidR="0054511A" w:rsidRDefault="0054511A" w:rsidP="0054511A">
      <w:pPr>
        <w:pStyle w:val="Listaszerbekezds"/>
        <w:numPr>
          <w:ilvl w:val="0"/>
          <w:numId w:val="1"/>
        </w:numPr>
      </w:pPr>
      <w:r>
        <w:t>szabályozható teljesítmény (4 fokozat)</w:t>
      </w:r>
    </w:p>
    <w:p w14:paraId="692E8F5D" w14:textId="77777777" w:rsidR="0054511A" w:rsidRDefault="0054511A" w:rsidP="0054511A">
      <w:pPr>
        <w:pStyle w:val="Listaszerbekezds"/>
        <w:numPr>
          <w:ilvl w:val="0"/>
          <w:numId w:val="1"/>
        </w:numPr>
      </w:pPr>
      <w:r>
        <w:t>kapcsolható oszcillálás</w:t>
      </w:r>
    </w:p>
    <w:p w14:paraId="3A3EDC78" w14:textId="77777777" w:rsidR="0054511A" w:rsidRDefault="0054511A" w:rsidP="0054511A">
      <w:pPr>
        <w:pStyle w:val="Listaszerbekezds"/>
        <w:numPr>
          <w:ilvl w:val="0"/>
          <w:numId w:val="1"/>
        </w:numPr>
      </w:pPr>
      <w:r>
        <w:t>LED kijelző: pontos idő, hőmérséklet, páratartalom</w:t>
      </w:r>
    </w:p>
    <w:p w14:paraId="189CC0D6" w14:textId="77777777" w:rsidR="0054511A" w:rsidRDefault="0054511A" w:rsidP="0054511A">
      <w:pPr>
        <w:pStyle w:val="Listaszerbekezds"/>
        <w:numPr>
          <w:ilvl w:val="0"/>
          <w:numId w:val="1"/>
        </w:numPr>
      </w:pPr>
      <w:r>
        <w:t>önbeállító LED kijelző fényerő</w:t>
      </w:r>
    </w:p>
    <w:p w14:paraId="509E9208" w14:textId="77777777" w:rsidR="0054511A" w:rsidRDefault="0054511A" w:rsidP="0054511A">
      <w:pPr>
        <w:pStyle w:val="Listaszerbekezds"/>
        <w:numPr>
          <w:ilvl w:val="0"/>
          <w:numId w:val="1"/>
        </w:numPr>
      </w:pPr>
      <w:r>
        <w:t>RGB állapotjelző fény</w:t>
      </w:r>
    </w:p>
    <w:p w14:paraId="6E5510E6" w14:textId="77777777" w:rsidR="0054511A" w:rsidRDefault="0054511A" w:rsidP="0054511A">
      <w:pPr>
        <w:pStyle w:val="Listaszerbekezds"/>
        <w:numPr>
          <w:ilvl w:val="0"/>
          <w:numId w:val="1"/>
        </w:numPr>
      </w:pPr>
      <w:r>
        <w:t>érintőgombok és távirányító</w:t>
      </w:r>
    </w:p>
    <w:p w14:paraId="50763925" w14:textId="77777777" w:rsidR="0054511A" w:rsidRDefault="0054511A" w:rsidP="0054511A">
      <w:pPr>
        <w:pStyle w:val="Listaszerbekezds"/>
        <w:numPr>
          <w:ilvl w:val="0"/>
          <w:numId w:val="1"/>
        </w:numPr>
      </w:pPr>
      <w:r>
        <w:t>időzíthető: 12 óra</w:t>
      </w:r>
    </w:p>
    <w:p w14:paraId="627B285D" w14:textId="77777777" w:rsidR="0054511A" w:rsidRDefault="0054511A" w:rsidP="0054511A">
      <w:pPr>
        <w:pStyle w:val="Listaszerbekezds"/>
        <w:numPr>
          <w:ilvl w:val="0"/>
          <w:numId w:val="1"/>
        </w:numPr>
      </w:pPr>
      <w:r>
        <w:t>magasság: 100 cm</w:t>
      </w:r>
    </w:p>
    <w:p w14:paraId="402B6945" w14:textId="29C87584" w:rsidR="0065021B" w:rsidRDefault="0054511A" w:rsidP="0054511A">
      <w:pPr>
        <w:pStyle w:val="Listaszerbekezds"/>
        <w:numPr>
          <w:ilvl w:val="0"/>
          <w:numId w:val="1"/>
        </w:numPr>
      </w:pPr>
      <w:r>
        <w:t>tápellátás: 230V~ 50Hz</w:t>
      </w:r>
    </w:p>
    <w:p w14:paraId="2208CFC0" w14:textId="77777777" w:rsidR="0054511A" w:rsidRPr="0054511A" w:rsidRDefault="0054511A" w:rsidP="0054511A">
      <w:pPr>
        <w:rPr>
          <w:b/>
          <w:bCs/>
        </w:rPr>
      </w:pPr>
      <w:r w:rsidRPr="0054511A">
        <w:rPr>
          <w:b/>
          <w:bCs/>
        </w:rPr>
        <w:t>Hogyan teheti kényelmesebbé és frissebbé otthona levegőjét egy modern oszlopventilátor?</w:t>
      </w:r>
    </w:p>
    <w:p w14:paraId="4716BB83" w14:textId="77777777" w:rsidR="0054511A" w:rsidRDefault="0054511A" w:rsidP="0054511A">
      <w:r>
        <w:t xml:space="preserve">A HOME TWFR100C oszlopventilátor kiváló választás mindazok számára, akik korszerű és sokoldalú megoldást keresnek a nyári hőség enyhítésére. A 60 W teljesítmény biztosítja a hatékony légáramlást, amelyet 4 választható üzemmód – normál ventilátor, természetes szél, éjszakai és </w:t>
      </w:r>
      <w:proofErr w:type="spellStart"/>
      <w:r>
        <w:t>smart</w:t>
      </w:r>
      <w:proofErr w:type="spellEnd"/>
      <w:r>
        <w:t xml:space="preserve"> – tesz igazán változatossá. Az állítható teljesítményfokozatok (4 szint) lehetővé teszik, hogy minden helyzetben a megfelelő intenzitást válassza, míg a kapcsolható oszcillálás gondoskodik a levegő egyenletes eloszlatásáról.</w:t>
      </w:r>
    </w:p>
    <w:p w14:paraId="652AFA1B" w14:textId="77777777" w:rsidR="0054511A" w:rsidRDefault="0054511A" w:rsidP="0054511A">
      <w:r>
        <w:t>Okos funkciók a maximális kényelemért</w:t>
      </w:r>
      <w:r>
        <w:rPr>
          <w:rFonts w:ascii="MS Gothic" w:eastAsia="MS Gothic" w:hAnsi="MS Gothic" w:cs="MS Gothic" w:hint="eastAsia"/>
        </w:rPr>
        <w:t> </w:t>
      </w:r>
      <w:r>
        <w:t>A k</w:t>
      </w:r>
      <w:r>
        <w:rPr>
          <w:rFonts w:ascii="Calibri" w:hAnsi="Calibri" w:cs="Calibri"/>
        </w:rPr>
        <w:t>é</w:t>
      </w:r>
      <w:r>
        <w:t>sz</w:t>
      </w:r>
      <w:r>
        <w:rPr>
          <w:rFonts w:ascii="Calibri" w:hAnsi="Calibri" w:cs="Calibri"/>
        </w:rPr>
        <w:t>ü</w:t>
      </w:r>
      <w:r>
        <w:t>l</w:t>
      </w:r>
      <w:r>
        <w:rPr>
          <w:rFonts w:ascii="Calibri" w:hAnsi="Calibri" w:cs="Calibri"/>
        </w:rPr>
        <w:t>é</w:t>
      </w:r>
      <w:r>
        <w:t>k LED kijelz</w:t>
      </w:r>
      <w:r>
        <w:rPr>
          <w:rFonts w:ascii="Calibri" w:hAnsi="Calibri" w:cs="Calibri"/>
        </w:rPr>
        <w:t>ő</w:t>
      </w:r>
      <w:r>
        <w:t>vel rendelkezik, amelyen pontosan nyomon k</w:t>
      </w:r>
      <w:r>
        <w:rPr>
          <w:rFonts w:ascii="Calibri" w:hAnsi="Calibri" w:cs="Calibri"/>
        </w:rPr>
        <w:t>ö</w:t>
      </w:r>
      <w:r>
        <w:t>vethet</w:t>
      </w:r>
      <w:r>
        <w:rPr>
          <w:rFonts w:ascii="Calibri" w:hAnsi="Calibri" w:cs="Calibri"/>
        </w:rPr>
        <w:t>ő</w:t>
      </w:r>
      <w:r>
        <w:t xml:space="preserve"> az id</w:t>
      </w:r>
      <w:r>
        <w:rPr>
          <w:rFonts w:ascii="Calibri" w:hAnsi="Calibri" w:cs="Calibri"/>
        </w:rPr>
        <w:t>ő</w:t>
      </w:r>
      <w:r>
        <w:t>, a h</w:t>
      </w:r>
      <w:r>
        <w:rPr>
          <w:rFonts w:ascii="Calibri" w:hAnsi="Calibri" w:cs="Calibri"/>
        </w:rPr>
        <w:t>ő</w:t>
      </w:r>
      <w:r>
        <w:t>m</w:t>
      </w:r>
      <w:r>
        <w:rPr>
          <w:rFonts w:ascii="Calibri" w:hAnsi="Calibri" w:cs="Calibri"/>
        </w:rPr>
        <w:t>é</w:t>
      </w:r>
      <w:r>
        <w:t>rs</w:t>
      </w:r>
      <w:r>
        <w:rPr>
          <w:rFonts w:ascii="Calibri" w:hAnsi="Calibri" w:cs="Calibri"/>
        </w:rPr>
        <w:t>é</w:t>
      </w:r>
      <w:r>
        <w:t xml:space="preserve">klet </w:t>
      </w:r>
      <w:r>
        <w:rPr>
          <w:rFonts w:ascii="Calibri" w:hAnsi="Calibri" w:cs="Calibri"/>
        </w:rPr>
        <w:t>é</w:t>
      </w:r>
      <w:r>
        <w:t>s a p</w:t>
      </w:r>
      <w:r>
        <w:rPr>
          <w:rFonts w:ascii="Calibri" w:hAnsi="Calibri" w:cs="Calibri"/>
        </w:rPr>
        <w:t>á</w:t>
      </w:r>
      <w:r>
        <w:t xml:space="preserve">ratartalom. Az </w:t>
      </w:r>
      <w:r>
        <w:rPr>
          <w:rFonts w:ascii="Calibri" w:hAnsi="Calibri" w:cs="Calibri"/>
        </w:rPr>
        <w:t>ö</w:t>
      </w:r>
      <w:r>
        <w:t>nbe</w:t>
      </w:r>
      <w:r>
        <w:rPr>
          <w:rFonts w:ascii="Calibri" w:hAnsi="Calibri" w:cs="Calibri"/>
        </w:rPr>
        <w:t>á</w:t>
      </w:r>
      <w:r>
        <w:t>ll</w:t>
      </w:r>
      <w:r>
        <w:rPr>
          <w:rFonts w:ascii="Calibri" w:hAnsi="Calibri" w:cs="Calibri"/>
        </w:rPr>
        <w:t>í</w:t>
      </w:r>
      <w:r>
        <w:t>t</w:t>
      </w:r>
      <w:r>
        <w:rPr>
          <w:rFonts w:ascii="Calibri" w:hAnsi="Calibri" w:cs="Calibri"/>
        </w:rPr>
        <w:t>ó</w:t>
      </w:r>
      <w:r>
        <w:t xml:space="preserve"> f</w:t>
      </w:r>
      <w:r>
        <w:rPr>
          <w:rFonts w:ascii="Calibri" w:hAnsi="Calibri" w:cs="Calibri"/>
        </w:rPr>
        <w:t>é</w:t>
      </w:r>
      <w:r>
        <w:t>nyer</w:t>
      </w:r>
      <w:r>
        <w:rPr>
          <w:rFonts w:ascii="Calibri" w:hAnsi="Calibri" w:cs="Calibri"/>
        </w:rPr>
        <w:t>ő</w:t>
      </w:r>
      <w:r>
        <w:t xml:space="preserve"> mindig az adott k</w:t>
      </w:r>
      <w:r>
        <w:rPr>
          <w:rFonts w:ascii="Calibri" w:hAnsi="Calibri" w:cs="Calibri"/>
        </w:rPr>
        <w:t>ö</w:t>
      </w:r>
      <w:r>
        <w:t xml:space="preserve">rnyezethez igazodik, </w:t>
      </w:r>
      <w:r>
        <w:rPr>
          <w:rFonts w:ascii="Calibri" w:hAnsi="Calibri" w:cs="Calibri"/>
        </w:rPr>
        <w:t>í</w:t>
      </w:r>
      <w:r>
        <w:t xml:space="preserve">gy </w:t>
      </w:r>
      <w:r>
        <w:rPr>
          <w:rFonts w:ascii="Calibri" w:hAnsi="Calibri" w:cs="Calibri"/>
        </w:rPr>
        <w:t>é</w:t>
      </w:r>
      <w:r>
        <w:t>jszaka sem zavar</w:t>
      </w:r>
      <w:r>
        <w:rPr>
          <w:rFonts w:ascii="Calibri" w:hAnsi="Calibri" w:cs="Calibri"/>
        </w:rPr>
        <w:t>ó</w:t>
      </w:r>
      <w:r>
        <w:t xml:space="preserve">. Az RGB </w:t>
      </w:r>
      <w:r>
        <w:rPr>
          <w:rFonts w:ascii="Calibri" w:hAnsi="Calibri" w:cs="Calibri"/>
        </w:rPr>
        <w:t>á</w:t>
      </w:r>
      <w:r>
        <w:t>llapotjelz</w:t>
      </w:r>
      <w:r>
        <w:rPr>
          <w:rFonts w:ascii="Calibri" w:hAnsi="Calibri" w:cs="Calibri"/>
        </w:rPr>
        <w:t>ő</w:t>
      </w:r>
      <w:r>
        <w:t xml:space="preserve"> f</w:t>
      </w:r>
      <w:r>
        <w:rPr>
          <w:rFonts w:ascii="Calibri" w:hAnsi="Calibri" w:cs="Calibri"/>
        </w:rPr>
        <w:t>é</w:t>
      </w:r>
      <w:r>
        <w:t>ny modern, st</w:t>
      </w:r>
      <w:r>
        <w:rPr>
          <w:rFonts w:ascii="Calibri" w:hAnsi="Calibri" w:cs="Calibri"/>
        </w:rPr>
        <w:t>í</w:t>
      </w:r>
      <w:r>
        <w:t>lusos megjelen</w:t>
      </w:r>
      <w:r>
        <w:rPr>
          <w:rFonts w:ascii="Calibri" w:hAnsi="Calibri" w:cs="Calibri"/>
        </w:rPr>
        <w:t>é</w:t>
      </w:r>
      <w:r>
        <w:t>st biztos</w:t>
      </w:r>
      <w:r>
        <w:rPr>
          <w:rFonts w:ascii="Calibri" w:hAnsi="Calibri" w:cs="Calibri"/>
        </w:rPr>
        <w:t>í</w:t>
      </w:r>
      <w:r>
        <w:t>t, amely eszt</w:t>
      </w:r>
      <w:r>
        <w:rPr>
          <w:rFonts w:ascii="Calibri" w:hAnsi="Calibri" w:cs="Calibri"/>
        </w:rPr>
        <w:t>é</w:t>
      </w:r>
      <w:r>
        <w:t>tikusan illeszkedik b</w:t>
      </w:r>
      <w:r>
        <w:rPr>
          <w:rFonts w:ascii="Calibri" w:hAnsi="Calibri" w:cs="Calibri"/>
        </w:rPr>
        <w:t>á</w:t>
      </w:r>
      <w:r>
        <w:t>rmely otthonba. A kezel</w:t>
      </w:r>
      <w:r>
        <w:rPr>
          <w:rFonts w:ascii="Calibri" w:hAnsi="Calibri" w:cs="Calibri"/>
        </w:rPr>
        <w:t>é</w:t>
      </w:r>
      <w:r>
        <w:t>s rendk</w:t>
      </w:r>
      <w:r>
        <w:rPr>
          <w:rFonts w:ascii="Calibri" w:hAnsi="Calibri" w:cs="Calibri"/>
        </w:rPr>
        <w:t>í</w:t>
      </w:r>
      <w:r>
        <w:t>v</w:t>
      </w:r>
      <w:r>
        <w:rPr>
          <w:rFonts w:ascii="Calibri" w:hAnsi="Calibri" w:cs="Calibri"/>
        </w:rPr>
        <w:t>ü</w:t>
      </w:r>
      <w:r>
        <w:t>l egyszer</w:t>
      </w:r>
      <w:r>
        <w:rPr>
          <w:rFonts w:ascii="Calibri" w:hAnsi="Calibri" w:cs="Calibri"/>
        </w:rPr>
        <w:t>ű</w:t>
      </w:r>
      <w:r>
        <w:t xml:space="preserve"> az </w:t>
      </w:r>
      <w:r>
        <w:rPr>
          <w:rFonts w:ascii="Calibri" w:hAnsi="Calibri" w:cs="Calibri"/>
        </w:rPr>
        <w:t>é</w:t>
      </w:r>
      <w:r>
        <w:t>rint</w:t>
      </w:r>
      <w:r>
        <w:rPr>
          <w:rFonts w:ascii="Calibri" w:hAnsi="Calibri" w:cs="Calibri"/>
        </w:rPr>
        <w:t>ő</w:t>
      </w:r>
      <w:r>
        <w:t>gombokkal vagy a mell</w:t>
      </w:r>
      <w:r>
        <w:rPr>
          <w:rFonts w:ascii="Calibri" w:hAnsi="Calibri" w:cs="Calibri"/>
        </w:rPr>
        <w:t>é</w:t>
      </w:r>
      <w:r>
        <w:t>kelt t</w:t>
      </w:r>
      <w:r>
        <w:rPr>
          <w:rFonts w:ascii="Calibri" w:hAnsi="Calibri" w:cs="Calibri"/>
        </w:rPr>
        <w:t>á</w:t>
      </w:r>
      <w:r>
        <w:t>vir</w:t>
      </w:r>
      <w:r>
        <w:rPr>
          <w:rFonts w:ascii="Calibri" w:hAnsi="Calibri" w:cs="Calibri"/>
        </w:rPr>
        <w:t>á</w:t>
      </w:r>
      <w:r>
        <w:t>ny</w:t>
      </w:r>
      <w:r>
        <w:rPr>
          <w:rFonts w:ascii="Calibri" w:hAnsi="Calibri" w:cs="Calibri"/>
        </w:rPr>
        <w:t>í</w:t>
      </w:r>
      <w:r>
        <w:t>t</w:t>
      </w:r>
      <w:r>
        <w:rPr>
          <w:rFonts w:ascii="Calibri" w:hAnsi="Calibri" w:cs="Calibri"/>
        </w:rPr>
        <w:t>ó</w:t>
      </w:r>
      <w:r>
        <w:t xml:space="preserve">val, </w:t>
      </w:r>
      <w:r>
        <w:rPr>
          <w:rFonts w:ascii="Calibri" w:hAnsi="Calibri" w:cs="Calibri"/>
        </w:rPr>
        <w:t>í</w:t>
      </w:r>
      <w:r>
        <w:t>gy ak</w:t>
      </w:r>
      <w:r>
        <w:rPr>
          <w:rFonts w:ascii="Calibri" w:hAnsi="Calibri" w:cs="Calibri"/>
        </w:rPr>
        <w:t>á</w:t>
      </w:r>
      <w:r>
        <w:t>r a kanap</w:t>
      </w:r>
      <w:r>
        <w:rPr>
          <w:rFonts w:ascii="Calibri" w:hAnsi="Calibri" w:cs="Calibri"/>
        </w:rPr>
        <w:t>é</w:t>
      </w:r>
      <w:r>
        <w:t>r</w:t>
      </w:r>
      <w:r>
        <w:rPr>
          <w:rFonts w:ascii="Calibri" w:hAnsi="Calibri" w:cs="Calibri"/>
        </w:rPr>
        <w:t>ó</w:t>
      </w:r>
      <w:r>
        <w:t>l is ir</w:t>
      </w:r>
      <w:r>
        <w:rPr>
          <w:rFonts w:ascii="Calibri" w:hAnsi="Calibri" w:cs="Calibri"/>
        </w:rPr>
        <w:t>á</w:t>
      </w:r>
      <w:r>
        <w:t>ny</w:t>
      </w:r>
      <w:r>
        <w:rPr>
          <w:rFonts w:ascii="Calibri" w:hAnsi="Calibri" w:cs="Calibri"/>
        </w:rPr>
        <w:t>í</w:t>
      </w:r>
      <w:r>
        <w:t>that</w:t>
      </w:r>
      <w:r>
        <w:rPr>
          <w:rFonts w:ascii="Calibri" w:hAnsi="Calibri" w:cs="Calibri"/>
        </w:rPr>
        <w:t>ó</w:t>
      </w:r>
      <w:r>
        <w:t>.</w:t>
      </w:r>
    </w:p>
    <w:p w14:paraId="258DDF54" w14:textId="77777777" w:rsidR="0054511A" w:rsidRDefault="0054511A" w:rsidP="0054511A">
      <w:r>
        <w:t>Praktikus és felhasználóbarát kialakítás</w:t>
      </w:r>
      <w:r>
        <w:rPr>
          <w:rFonts w:ascii="MS Gothic" w:eastAsia="MS Gothic" w:hAnsi="MS Gothic" w:cs="MS Gothic" w:hint="eastAsia"/>
        </w:rPr>
        <w:t> </w:t>
      </w:r>
      <w:r>
        <w:t>A ventil</w:t>
      </w:r>
      <w:r>
        <w:rPr>
          <w:rFonts w:ascii="Calibri" w:hAnsi="Calibri" w:cs="Calibri"/>
        </w:rPr>
        <w:t>á</w:t>
      </w:r>
      <w:r>
        <w:t xml:space="preserve">tor 12 </w:t>
      </w:r>
      <w:r>
        <w:rPr>
          <w:rFonts w:ascii="Calibri" w:hAnsi="Calibri" w:cs="Calibri"/>
        </w:rPr>
        <w:t>ó</w:t>
      </w:r>
      <w:r>
        <w:t>r</w:t>
      </w:r>
      <w:r>
        <w:rPr>
          <w:rFonts w:ascii="Calibri" w:hAnsi="Calibri" w:cs="Calibri"/>
        </w:rPr>
        <w:t>á</w:t>
      </w:r>
      <w:r>
        <w:t>s id</w:t>
      </w:r>
      <w:r>
        <w:rPr>
          <w:rFonts w:ascii="Calibri" w:hAnsi="Calibri" w:cs="Calibri"/>
        </w:rPr>
        <w:t>ő</w:t>
      </w:r>
      <w:r>
        <w:t>z</w:t>
      </w:r>
      <w:r>
        <w:rPr>
          <w:rFonts w:ascii="Calibri" w:hAnsi="Calibri" w:cs="Calibri"/>
        </w:rPr>
        <w:t>í</w:t>
      </w:r>
      <w:r>
        <w:t>t</w:t>
      </w:r>
      <w:r>
        <w:rPr>
          <w:rFonts w:ascii="Calibri" w:hAnsi="Calibri" w:cs="Calibri"/>
        </w:rPr>
        <w:t>ő</w:t>
      </w:r>
      <w:r>
        <w:t>vel van felszerelve, amely energiatakar</w:t>
      </w:r>
      <w:r>
        <w:rPr>
          <w:rFonts w:ascii="Calibri" w:hAnsi="Calibri" w:cs="Calibri"/>
        </w:rPr>
        <w:t>é</w:t>
      </w:r>
      <w:r>
        <w:t>kos haszn</w:t>
      </w:r>
      <w:r>
        <w:rPr>
          <w:rFonts w:ascii="Calibri" w:hAnsi="Calibri" w:cs="Calibri"/>
        </w:rPr>
        <w:t>á</w:t>
      </w:r>
      <w:r>
        <w:t>latot tesz lehet</w:t>
      </w:r>
      <w:r>
        <w:rPr>
          <w:rFonts w:ascii="Calibri" w:hAnsi="Calibri" w:cs="Calibri"/>
        </w:rPr>
        <w:t>ő</w:t>
      </w:r>
      <w:r>
        <w:t>v</w:t>
      </w:r>
      <w:r>
        <w:rPr>
          <w:rFonts w:ascii="Calibri" w:hAnsi="Calibri" w:cs="Calibri"/>
        </w:rPr>
        <w:t>é</w:t>
      </w:r>
      <w:r>
        <w:t>. A 100 cm magass</w:t>
      </w:r>
      <w:r>
        <w:rPr>
          <w:rFonts w:ascii="Calibri" w:hAnsi="Calibri" w:cs="Calibri"/>
        </w:rPr>
        <w:t>á</w:t>
      </w:r>
      <w:r>
        <w:t>g eleg</w:t>
      </w:r>
      <w:r>
        <w:rPr>
          <w:rFonts w:ascii="Calibri" w:hAnsi="Calibri" w:cs="Calibri"/>
        </w:rPr>
        <w:t>á</w:t>
      </w:r>
      <w:r>
        <w:t>ns, karcs</w:t>
      </w:r>
      <w:r>
        <w:rPr>
          <w:rFonts w:ascii="Calibri" w:hAnsi="Calibri" w:cs="Calibri"/>
        </w:rPr>
        <w:t>ú</w:t>
      </w:r>
      <w:r>
        <w:t xml:space="preserve"> kivitelben biztos</w:t>
      </w:r>
      <w:r>
        <w:rPr>
          <w:rFonts w:ascii="Calibri" w:hAnsi="Calibri" w:cs="Calibri"/>
        </w:rPr>
        <w:t>í</w:t>
      </w:r>
      <w:r>
        <w:t>tja a hat</w:t>
      </w:r>
      <w:r>
        <w:rPr>
          <w:rFonts w:ascii="Calibri" w:hAnsi="Calibri" w:cs="Calibri"/>
        </w:rPr>
        <w:t>é</w:t>
      </w:r>
      <w:r>
        <w:t>kony leveg</w:t>
      </w:r>
      <w:r>
        <w:rPr>
          <w:rFonts w:ascii="Calibri" w:hAnsi="Calibri" w:cs="Calibri"/>
        </w:rPr>
        <w:t>őá</w:t>
      </w:r>
      <w:r>
        <w:t>raml</w:t>
      </w:r>
      <w:r>
        <w:rPr>
          <w:rFonts w:ascii="Calibri" w:hAnsi="Calibri" w:cs="Calibri"/>
        </w:rPr>
        <w:t>á</w:t>
      </w:r>
      <w:r>
        <w:t>st, mik</w:t>
      </w:r>
      <w:r>
        <w:rPr>
          <w:rFonts w:ascii="Calibri" w:hAnsi="Calibri" w:cs="Calibri"/>
        </w:rPr>
        <w:t>ö</w:t>
      </w:r>
      <w:r>
        <w:t>zben kev</w:t>
      </w:r>
      <w:r>
        <w:rPr>
          <w:rFonts w:ascii="Calibri" w:hAnsi="Calibri" w:cs="Calibri"/>
        </w:rPr>
        <w:t>é</w:t>
      </w:r>
      <w:r>
        <w:t>s helyet foglal. A k</w:t>
      </w:r>
      <w:r>
        <w:rPr>
          <w:rFonts w:ascii="Calibri" w:hAnsi="Calibri" w:cs="Calibri"/>
        </w:rPr>
        <w:t>é</w:t>
      </w:r>
      <w:r>
        <w:t>sz</w:t>
      </w:r>
      <w:r>
        <w:rPr>
          <w:rFonts w:ascii="Calibri" w:hAnsi="Calibri" w:cs="Calibri"/>
        </w:rPr>
        <w:t>ü</w:t>
      </w:r>
      <w:r>
        <w:t>l</w:t>
      </w:r>
      <w:r>
        <w:rPr>
          <w:rFonts w:ascii="Calibri" w:hAnsi="Calibri" w:cs="Calibri"/>
        </w:rPr>
        <w:t>é</w:t>
      </w:r>
      <w:r>
        <w:t>k 230V~ 50Hz t</w:t>
      </w:r>
      <w:r>
        <w:rPr>
          <w:rFonts w:ascii="Calibri" w:hAnsi="Calibri" w:cs="Calibri"/>
        </w:rPr>
        <w:t>á</w:t>
      </w:r>
      <w:r>
        <w:t>pell</w:t>
      </w:r>
      <w:r>
        <w:rPr>
          <w:rFonts w:ascii="Calibri" w:hAnsi="Calibri" w:cs="Calibri"/>
        </w:rPr>
        <w:t>á</w:t>
      </w:r>
      <w:r>
        <w:t>t</w:t>
      </w:r>
      <w:r>
        <w:rPr>
          <w:rFonts w:ascii="Calibri" w:hAnsi="Calibri" w:cs="Calibri"/>
        </w:rPr>
        <w:t>á</w:t>
      </w:r>
      <w:r>
        <w:t>ssal m</w:t>
      </w:r>
      <w:r>
        <w:rPr>
          <w:rFonts w:ascii="Calibri" w:hAnsi="Calibri" w:cs="Calibri"/>
        </w:rPr>
        <w:t>ű</w:t>
      </w:r>
      <w:r>
        <w:t>k</w:t>
      </w:r>
      <w:r>
        <w:rPr>
          <w:rFonts w:ascii="Calibri" w:hAnsi="Calibri" w:cs="Calibri"/>
        </w:rPr>
        <w:t>ö</w:t>
      </w:r>
      <w:r>
        <w:t xml:space="preserve">dik, </w:t>
      </w:r>
      <w:r>
        <w:rPr>
          <w:rFonts w:ascii="Calibri" w:hAnsi="Calibri" w:cs="Calibri"/>
        </w:rPr>
        <w:t>í</w:t>
      </w:r>
      <w:r>
        <w:t>gy b</w:t>
      </w:r>
      <w:r>
        <w:rPr>
          <w:rFonts w:ascii="Calibri" w:hAnsi="Calibri" w:cs="Calibri"/>
        </w:rPr>
        <w:t>á</w:t>
      </w:r>
      <w:r>
        <w:t>rhol k</w:t>
      </w:r>
      <w:r>
        <w:rPr>
          <w:rFonts w:ascii="Calibri" w:hAnsi="Calibri" w:cs="Calibri"/>
        </w:rPr>
        <w:t>ö</w:t>
      </w:r>
      <w:r>
        <w:t>nnyed</w:t>
      </w:r>
      <w:r>
        <w:rPr>
          <w:rFonts w:ascii="Calibri" w:hAnsi="Calibri" w:cs="Calibri"/>
        </w:rPr>
        <w:t>é</w:t>
      </w:r>
      <w:r>
        <w:t xml:space="preserve">n </w:t>
      </w:r>
      <w:r>
        <w:rPr>
          <w:rFonts w:ascii="Calibri" w:hAnsi="Calibri" w:cs="Calibri"/>
        </w:rPr>
        <w:t>ü</w:t>
      </w:r>
      <w:r>
        <w:t>zembe helyezhet</w:t>
      </w:r>
      <w:r>
        <w:rPr>
          <w:rFonts w:ascii="Calibri" w:hAnsi="Calibri" w:cs="Calibri"/>
        </w:rPr>
        <w:t>ő</w:t>
      </w:r>
      <w:r>
        <w:t>.</w:t>
      </w:r>
    </w:p>
    <w:p w14:paraId="4FA4196B" w14:textId="77777777" w:rsidR="0054511A" w:rsidRPr="0054511A" w:rsidRDefault="0054511A" w:rsidP="0054511A">
      <w:pPr>
        <w:rPr>
          <w:b/>
          <w:bCs/>
        </w:rPr>
      </w:pPr>
      <w:r w:rsidRPr="0054511A">
        <w:rPr>
          <w:b/>
          <w:bCs/>
        </w:rPr>
        <w:t>Miért válassza a HOME TWFR100C oszlopventilátort?</w:t>
      </w:r>
    </w:p>
    <w:p w14:paraId="6570007A" w14:textId="1E1ABAAA" w:rsidR="0054511A" w:rsidRDefault="0054511A" w:rsidP="0054511A">
      <w:pPr>
        <w:pStyle w:val="Listaszerbekezds"/>
        <w:numPr>
          <w:ilvl w:val="0"/>
          <w:numId w:val="4"/>
        </w:numPr>
      </w:pPr>
      <w:r>
        <w:t>60 W teljesítmény a hatékony hűtésért</w:t>
      </w:r>
    </w:p>
    <w:p w14:paraId="14CF23A9" w14:textId="60D82AE6" w:rsidR="0054511A" w:rsidRDefault="0054511A" w:rsidP="0054511A">
      <w:pPr>
        <w:pStyle w:val="Listaszerbekezds"/>
        <w:numPr>
          <w:ilvl w:val="0"/>
          <w:numId w:val="4"/>
        </w:numPr>
      </w:pPr>
      <w:r>
        <w:t>4 üzemmód és 4 fokozat a teljes szabályozhatóságért</w:t>
      </w:r>
    </w:p>
    <w:p w14:paraId="6997CDFA" w14:textId="675F2A9D" w:rsidR="0054511A" w:rsidRDefault="0054511A" w:rsidP="0054511A">
      <w:pPr>
        <w:pStyle w:val="Listaszerbekezds"/>
        <w:numPr>
          <w:ilvl w:val="0"/>
          <w:numId w:val="4"/>
        </w:numPr>
      </w:pPr>
      <w:r>
        <w:t>Kapcsolható oszcillálás az egyenletes légelosztásért</w:t>
      </w:r>
    </w:p>
    <w:p w14:paraId="7FC5E9E0" w14:textId="06C595FC" w:rsidR="0054511A" w:rsidRDefault="0054511A" w:rsidP="0054511A">
      <w:pPr>
        <w:pStyle w:val="Listaszerbekezds"/>
        <w:numPr>
          <w:ilvl w:val="0"/>
          <w:numId w:val="4"/>
        </w:numPr>
      </w:pPr>
      <w:r>
        <w:t>LED kijelző, önbeálló fényerő és RGB világítás a modern megjelenésért</w:t>
      </w:r>
    </w:p>
    <w:p w14:paraId="66AA3274" w14:textId="7077D14F" w:rsidR="0054511A" w:rsidRDefault="0054511A" w:rsidP="0054511A">
      <w:pPr>
        <w:pStyle w:val="Listaszerbekezds"/>
        <w:numPr>
          <w:ilvl w:val="0"/>
          <w:numId w:val="4"/>
        </w:numPr>
      </w:pPr>
      <w:r>
        <w:t>Érintőgombok és távirányító a maximális kényelemért</w:t>
      </w:r>
    </w:p>
    <w:p w14:paraId="2A5E848D" w14:textId="5F7D36A5" w:rsidR="0054511A" w:rsidRDefault="0054511A" w:rsidP="0054511A">
      <w:pPr>
        <w:pStyle w:val="Listaszerbekezds"/>
        <w:numPr>
          <w:ilvl w:val="0"/>
          <w:numId w:val="4"/>
        </w:numPr>
      </w:pPr>
      <w:r>
        <w:t>12 órás időzítő az energiatakarékosságért</w:t>
      </w:r>
    </w:p>
    <w:p w14:paraId="070FEB18" w14:textId="77777777" w:rsidR="0054511A" w:rsidRDefault="0054511A" w:rsidP="0054511A"/>
    <w:p w14:paraId="22263FF3" w14:textId="08BAB158" w:rsidR="0054511A" w:rsidRDefault="0054511A" w:rsidP="0054511A">
      <w:r>
        <w:t>Ne hagyja, hogy a nyári forróság megnehezítse a mindennapokat! Válassza a HOME TWFR100C oszlopventilátort, és élvezze a friss, kellemes levegőt otthonában bármikor.</w:t>
      </w:r>
    </w:p>
    <w:sectPr w:rsidR="005451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6336F"/>
    <w:multiLevelType w:val="hybridMultilevel"/>
    <w:tmpl w:val="57CE05BC"/>
    <w:lvl w:ilvl="0" w:tplc="8A2A0006">
      <w:numFmt w:val="bullet"/>
      <w:lvlText w:val="-"/>
      <w:lvlJc w:val="left"/>
      <w:pPr>
        <w:ind w:left="768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58BA146C"/>
    <w:multiLevelType w:val="hybridMultilevel"/>
    <w:tmpl w:val="4216BDCA"/>
    <w:lvl w:ilvl="0" w:tplc="8A2A0006">
      <w:numFmt w:val="bullet"/>
      <w:lvlText w:val="-"/>
      <w:lvlJc w:val="left"/>
      <w:pPr>
        <w:ind w:left="768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92520B"/>
    <w:multiLevelType w:val="hybridMultilevel"/>
    <w:tmpl w:val="C1CEACB2"/>
    <w:lvl w:ilvl="0" w:tplc="E628435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E21056"/>
    <w:multiLevelType w:val="hybridMultilevel"/>
    <w:tmpl w:val="EF0EAA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405544">
    <w:abstractNumId w:val="3"/>
  </w:num>
  <w:num w:numId="2" w16cid:durableId="1017199214">
    <w:abstractNumId w:val="0"/>
  </w:num>
  <w:num w:numId="3" w16cid:durableId="887646737">
    <w:abstractNumId w:val="1"/>
  </w:num>
  <w:num w:numId="4" w16cid:durableId="2071733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11A"/>
    <w:rsid w:val="0054511A"/>
    <w:rsid w:val="0065021B"/>
    <w:rsid w:val="00747397"/>
    <w:rsid w:val="0098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47130"/>
  <w15:chartTrackingRefBased/>
  <w15:docId w15:val="{A0D92FC2-3349-4E56-A00D-C145644EE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451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5451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451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5451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5451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451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451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451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451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451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5451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451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54511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54511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451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451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451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451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5451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5451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5451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5451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5451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5451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5451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54511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451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4511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5451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2026-03-19T14:46:00Z</dcterms:created>
  <dcterms:modified xsi:type="dcterms:W3CDTF">2026-03-19T14:47:00Z</dcterms:modified>
</cp:coreProperties>
</file>